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252" w:rsidRDefault="00A33443">
      <w:pPr>
        <w:spacing w:before="69"/>
        <w:ind w:left="116"/>
        <w:rPr>
          <w:sz w:val="20"/>
        </w:rPr>
      </w:pPr>
      <w:r>
        <w:rPr>
          <w:sz w:val="20"/>
        </w:rPr>
        <w:t xml:space="preserve">Submitted version, final version in </w:t>
      </w:r>
      <w:r>
        <w:rPr>
          <w:i/>
          <w:sz w:val="20"/>
        </w:rPr>
        <w:t>Land Use Policy</w:t>
      </w:r>
      <w:r>
        <w:rPr>
          <w:sz w:val="20"/>
        </w:rPr>
        <w:t>:</w:t>
      </w:r>
    </w:p>
    <w:p w:rsidR="00C94252" w:rsidRDefault="00A33443">
      <w:pPr>
        <w:ind w:left="116" w:right="214"/>
        <w:rPr>
          <w:sz w:val="20"/>
          <w:u w:val="single"/>
        </w:rPr>
      </w:pPr>
      <w:r>
        <w:rPr>
          <w:sz w:val="20"/>
        </w:rPr>
        <w:t xml:space="preserve">Suškevičs, M., Eiter, S., Martinat, S., Stober, D., Vollmer, E., de Boer, C.L., Buchecker, M., 2019. Regional variation in public acceptance of wind energy development in Europe: What are the roles of planning procedures and participation? Land Use Policy </w:t>
      </w:r>
      <w:r>
        <w:rPr>
          <w:sz w:val="20"/>
        </w:rPr>
        <w:t xml:space="preserve">81, 311–323. </w:t>
      </w:r>
      <w:hyperlink r:id="rId7">
        <w:r>
          <w:rPr>
            <w:sz w:val="20"/>
            <w:u w:val="single"/>
          </w:rPr>
          <w:t>https://doi.org/10.1016/j.landusepol.2018.10.032</w:t>
        </w:r>
      </w:hyperlink>
    </w:p>
    <w:p w:rsidR="00A33443" w:rsidRDefault="00A33443">
      <w:pPr>
        <w:ind w:left="116" w:right="214"/>
        <w:rPr>
          <w:sz w:val="20"/>
          <w:u w:val="single"/>
        </w:rPr>
      </w:pPr>
    </w:p>
    <w:p w:rsidR="00A33443" w:rsidRDefault="00A33443" w:rsidP="00A33443">
      <w:pPr>
        <w:spacing w:line="480" w:lineRule="auto"/>
        <w:rPr>
          <w:sz w:val="24"/>
          <w:szCs w:val="24"/>
        </w:rPr>
      </w:pPr>
      <w:r>
        <w:rPr>
          <w:rFonts w:ascii="Arial" w:hAnsi="Arial" w:cs="Arial"/>
        </w:rPr>
        <w:t xml:space="preserve">©2018 Licensed under the Creative Commons CC-BY-NC-ND 4.0 </w:t>
      </w:r>
    </w:p>
    <w:p w:rsidR="00A33443" w:rsidRPr="00A33443" w:rsidRDefault="00A33443">
      <w:pPr>
        <w:ind w:left="116" w:right="214"/>
        <w:rPr>
          <w:sz w:val="20"/>
        </w:rPr>
      </w:pPr>
      <w:bookmarkStart w:id="0" w:name="_GoBack"/>
      <w:bookmarkEnd w:id="0"/>
    </w:p>
    <w:p w:rsidR="00C94252" w:rsidRDefault="00C94252">
      <w:pPr>
        <w:pStyle w:val="Brdtekst"/>
        <w:spacing w:before="6"/>
        <w:rPr>
          <w:sz w:val="20"/>
        </w:rPr>
      </w:pPr>
    </w:p>
    <w:p w:rsidR="00C94252" w:rsidRDefault="00A33443">
      <w:pPr>
        <w:pStyle w:val="Overskrift1"/>
      </w:pPr>
      <w:r>
        <w:t>--</w:t>
      </w:r>
    </w:p>
    <w:p w:rsidR="00C94252" w:rsidRDefault="00A33443">
      <w:pPr>
        <w:ind w:left="116"/>
        <w:rPr>
          <w:b/>
          <w:sz w:val="24"/>
        </w:rPr>
      </w:pPr>
      <w:r>
        <w:rPr>
          <w:b/>
          <w:sz w:val="24"/>
        </w:rPr>
        <w:t>Regional variation in public acceptance of wind energy development in Europe: what are the roles of planning procedures an</w:t>
      </w:r>
      <w:r>
        <w:rPr>
          <w:b/>
          <w:sz w:val="24"/>
        </w:rPr>
        <w:t>d participation?</w:t>
      </w:r>
    </w:p>
    <w:p w:rsidR="00C94252" w:rsidRDefault="00C94252">
      <w:pPr>
        <w:pStyle w:val="Brdtekst"/>
        <w:spacing w:before="5"/>
        <w:rPr>
          <w:b/>
          <w:sz w:val="35"/>
        </w:rPr>
      </w:pPr>
    </w:p>
    <w:p w:rsidR="00C94252" w:rsidRDefault="00A33443">
      <w:pPr>
        <w:ind w:left="116"/>
      </w:pPr>
      <w:r>
        <w:t>Suškevičs, M.; Eiter, S.; Martinat, S.; Stober, D.; Vollmer, E.; de Boer, C. L.; Buchecker, M.</w:t>
      </w:r>
    </w:p>
    <w:p w:rsidR="00C94252" w:rsidRDefault="00C94252">
      <w:pPr>
        <w:pStyle w:val="Brdtekst"/>
      </w:pPr>
    </w:p>
    <w:p w:rsidR="00C94252" w:rsidRDefault="00A33443">
      <w:pPr>
        <w:spacing w:before="155"/>
        <w:ind w:left="116" w:right="1299"/>
      </w:pPr>
      <w:r>
        <w:rPr>
          <w:position w:val="8"/>
          <w:sz w:val="14"/>
        </w:rPr>
        <w:t xml:space="preserve">2 </w:t>
      </w:r>
      <w:r>
        <w:t xml:space="preserve">NIBIO – Norwegian Institute of Bioeconomy Research, P.O. Box 115, 1431 Ås, Norway </w:t>
      </w:r>
      <w:hyperlink r:id="rId8">
        <w:r>
          <w:rPr>
            <w:color w:val="0462C1"/>
            <w:u w:val="single" w:color="000000"/>
          </w:rPr>
          <w:t>sebasti</w:t>
        </w:r>
        <w:r>
          <w:rPr>
            <w:color w:val="0462C1"/>
            <w:u w:val="single" w:color="000000"/>
          </w:rPr>
          <w:t>an.eiter@nibio.no</w:t>
        </w:r>
      </w:hyperlink>
    </w:p>
    <w:p w:rsidR="00C94252" w:rsidRDefault="00A33443">
      <w:pPr>
        <w:spacing w:before="153"/>
        <w:ind w:left="116" w:right="743"/>
      </w:pPr>
      <w:r>
        <w:rPr>
          <w:position w:val="8"/>
          <w:sz w:val="14"/>
        </w:rPr>
        <w:t xml:space="preserve">3 </w:t>
      </w:r>
      <w:r>
        <w:t xml:space="preserve">School of Geography and Planning, Cardiff University, Glamorgan Building, King Edward VII Avenue, Cardiff, CF10 3WA, Wales, UK </w:t>
      </w:r>
      <w:hyperlink r:id="rId9">
        <w:r>
          <w:rPr>
            <w:color w:val="1154CC"/>
            <w:u w:val="single" w:color="000000"/>
          </w:rPr>
          <w:t>martinats@cardiff.ac.uk</w:t>
        </w:r>
      </w:hyperlink>
    </w:p>
    <w:p w:rsidR="00C94252" w:rsidRDefault="00A33443">
      <w:pPr>
        <w:spacing w:before="157"/>
        <w:ind w:left="116" w:right="439"/>
      </w:pPr>
      <w:r>
        <w:rPr>
          <w:position w:val="8"/>
          <w:sz w:val="14"/>
        </w:rPr>
        <w:t xml:space="preserve">4 </w:t>
      </w:r>
      <w:r>
        <w:t>Institute of Geonics of the Czech</w:t>
      </w:r>
      <w:r>
        <w:t xml:space="preserve"> Academy of Sciences, Department of Environmental Geography, Studentska 1768, 708 00 Ostrava, Czech Republic</w:t>
      </w:r>
    </w:p>
    <w:p w:rsidR="00C94252" w:rsidRDefault="00A33443">
      <w:pPr>
        <w:spacing w:before="158"/>
        <w:ind w:left="116"/>
      </w:pPr>
      <w:r>
        <w:t>ORCID: 0000-0003-4060-2009</w:t>
      </w:r>
    </w:p>
    <w:p w:rsidR="00C94252" w:rsidRDefault="00A33443">
      <w:pPr>
        <w:spacing w:before="155"/>
        <w:ind w:left="116" w:right="750"/>
      </w:pPr>
      <w:r>
        <w:rPr>
          <w:position w:val="8"/>
          <w:sz w:val="14"/>
        </w:rPr>
        <w:t xml:space="preserve">5 </w:t>
      </w:r>
      <w:r>
        <w:t xml:space="preserve">UNIOS – University of Osijek, Faculty of Civil Engineering, Ul. kralja Petra Svačića 1, 31000, Osijek, Croatia </w:t>
      </w:r>
      <w:hyperlink r:id="rId10">
        <w:r>
          <w:rPr>
            <w:color w:val="0462C1"/>
            <w:u w:val="single" w:color="000000"/>
          </w:rPr>
          <w:t>dstober@gfos.hr</w:t>
        </w:r>
      </w:hyperlink>
    </w:p>
    <w:p w:rsidR="00C94252" w:rsidRDefault="00A33443">
      <w:pPr>
        <w:spacing w:before="156"/>
        <w:ind w:left="116" w:right="451"/>
      </w:pPr>
      <w:r>
        <w:rPr>
          <w:position w:val="8"/>
          <w:sz w:val="14"/>
        </w:rPr>
        <w:t xml:space="preserve">6 </w:t>
      </w:r>
      <w:r>
        <w:t xml:space="preserve">Centre of Renewable Energy of Estonian University of Life Sciences, Kreutzwaldi 5, Tartu 51014, Estonia </w:t>
      </w:r>
      <w:hyperlink r:id="rId11">
        <w:r>
          <w:rPr>
            <w:color w:val="0462C1"/>
            <w:u w:val="single" w:color="000000"/>
          </w:rPr>
          <w:t>elis.vollmer@emu.ee</w:t>
        </w:r>
      </w:hyperlink>
    </w:p>
    <w:p w:rsidR="00C94252" w:rsidRDefault="00A33443">
      <w:pPr>
        <w:spacing w:before="153"/>
        <w:ind w:left="116" w:right="799"/>
      </w:pPr>
      <w:r>
        <w:rPr>
          <w:position w:val="8"/>
          <w:sz w:val="14"/>
        </w:rPr>
        <w:t xml:space="preserve">7 </w:t>
      </w:r>
      <w:r>
        <w:t>Department of Urban and Regiona</w:t>
      </w:r>
      <w:r>
        <w:t xml:space="preserve">l Planning and Geo-Information Management, University of Twente, PO Box 217, 7500 AE Enschede, Netherlands </w:t>
      </w:r>
      <w:hyperlink r:id="rId12">
        <w:r>
          <w:rPr>
            <w:color w:val="1154CC"/>
            <w:u w:val="single" w:color="000000"/>
          </w:rPr>
          <w:t>c.deboer@utwente.nl</w:t>
        </w:r>
      </w:hyperlink>
    </w:p>
    <w:p w:rsidR="00C94252" w:rsidRDefault="00A33443">
      <w:pPr>
        <w:spacing w:before="156"/>
        <w:ind w:left="116" w:right="628"/>
      </w:pPr>
      <w:r>
        <w:rPr>
          <w:position w:val="8"/>
          <w:sz w:val="14"/>
        </w:rPr>
        <w:t xml:space="preserve">8 </w:t>
      </w:r>
      <w:r>
        <w:t xml:space="preserve">WSL – Swiss Federal Institute for Forest, Snow and Landscape Research, Economics and Social Sciences, Zürcherstrasse 111, CH-8903 Birmensdorf, Switzerland </w:t>
      </w:r>
      <w:hyperlink r:id="rId13">
        <w:r>
          <w:rPr>
            <w:color w:val="0462C1"/>
            <w:u w:val="single" w:color="000000"/>
          </w:rPr>
          <w:t>matthias.buchecker@wsl.ch</w:t>
        </w:r>
      </w:hyperlink>
    </w:p>
    <w:p w:rsidR="00C94252" w:rsidRDefault="00C94252">
      <w:pPr>
        <w:pStyle w:val="Brdtekst"/>
        <w:rPr>
          <w:sz w:val="20"/>
        </w:rPr>
      </w:pPr>
    </w:p>
    <w:p w:rsidR="00C94252" w:rsidRDefault="00C94252">
      <w:pPr>
        <w:pStyle w:val="Brdtekst"/>
        <w:rPr>
          <w:sz w:val="20"/>
        </w:rPr>
      </w:pPr>
    </w:p>
    <w:p w:rsidR="00C94252" w:rsidRDefault="00C94252">
      <w:pPr>
        <w:pStyle w:val="Brdtekst"/>
        <w:spacing w:before="5"/>
        <w:rPr>
          <w:sz w:val="26"/>
        </w:rPr>
      </w:pPr>
    </w:p>
    <w:p w:rsidR="00C94252" w:rsidRDefault="00A33443">
      <w:pPr>
        <w:pStyle w:val="Overskrift1"/>
        <w:spacing w:before="90"/>
      </w:pPr>
      <w:r>
        <w:t>Highlights</w:t>
      </w:r>
    </w:p>
    <w:p w:rsidR="00C94252" w:rsidRDefault="00A33443">
      <w:pPr>
        <w:pStyle w:val="Listeavsnitt"/>
        <w:numPr>
          <w:ilvl w:val="0"/>
          <w:numId w:val="7"/>
        </w:numPr>
        <w:tabs>
          <w:tab w:val="left" w:pos="836"/>
          <w:tab w:val="left" w:pos="837"/>
        </w:tabs>
        <w:spacing w:before="177" w:line="293" w:lineRule="exact"/>
        <w:rPr>
          <w:sz w:val="24"/>
        </w:rPr>
      </w:pPr>
      <w:r>
        <w:rPr>
          <w:sz w:val="24"/>
        </w:rPr>
        <w:t>We conducted an expert survey about wind energy resistance in</w:t>
      </w:r>
      <w:r>
        <w:rPr>
          <w:spacing w:val="-9"/>
          <w:sz w:val="24"/>
        </w:rPr>
        <w:t xml:space="preserve"> </w:t>
      </w:r>
      <w:r>
        <w:rPr>
          <w:sz w:val="24"/>
        </w:rPr>
        <w:t>planning.</w:t>
      </w:r>
    </w:p>
    <w:p w:rsidR="00C94252" w:rsidRDefault="00A33443">
      <w:pPr>
        <w:pStyle w:val="Listeavsnitt"/>
        <w:numPr>
          <w:ilvl w:val="0"/>
          <w:numId w:val="7"/>
        </w:numPr>
        <w:tabs>
          <w:tab w:val="left" w:pos="836"/>
          <w:tab w:val="left" w:pos="837"/>
        </w:tabs>
        <w:spacing w:line="293" w:lineRule="exact"/>
        <w:rPr>
          <w:sz w:val="24"/>
        </w:rPr>
      </w:pPr>
      <w:r>
        <w:rPr>
          <w:sz w:val="24"/>
        </w:rPr>
        <w:t>Resistance links to planning quality in four supra-national European</w:t>
      </w:r>
      <w:r>
        <w:rPr>
          <w:spacing w:val="-11"/>
          <w:sz w:val="24"/>
        </w:rPr>
        <w:t xml:space="preserve"> </w:t>
      </w:r>
      <w:r>
        <w:rPr>
          <w:sz w:val="24"/>
        </w:rPr>
        <w:t>regions.</w:t>
      </w:r>
    </w:p>
    <w:p w:rsidR="00C94252" w:rsidRDefault="00A33443">
      <w:pPr>
        <w:pStyle w:val="Listeavsnitt"/>
        <w:numPr>
          <w:ilvl w:val="0"/>
          <w:numId w:val="7"/>
        </w:numPr>
        <w:tabs>
          <w:tab w:val="left" w:pos="836"/>
          <w:tab w:val="left" w:pos="837"/>
        </w:tabs>
        <w:spacing w:before="1" w:line="293" w:lineRule="exact"/>
        <w:rPr>
          <w:sz w:val="24"/>
        </w:rPr>
      </w:pPr>
      <w:r>
        <w:rPr>
          <w:sz w:val="24"/>
        </w:rPr>
        <w:t>Landscape encroachment is a major reason for resistance in most European</w:t>
      </w:r>
      <w:r>
        <w:rPr>
          <w:spacing w:val="-8"/>
          <w:sz w:val="24"/>
        </w:rPr>
        <w:t xml:space="preserve"> </w:t>
      </w:r>
      <w:r>
        <w:rPr>
          <w:sz w:val="24"/>
        </w:rPr>
        <w:t>regions.</w:t>
      </w:r>
    </w:p>
    <w:p w:rsidR="00C94252" w:rsidRDefault="00A33443">
      <w:pPr>
        <w:pStyle w:val="Listeavsnitt"/>
        <w:numPr>
          <w:ilvl w:val="0"/>
          <w:numId w:val="7"/>
        </w:numPr>
        <w:tabs>
          <w:tab w:val="left" w:pos="836"/>
          <w:tab w:val="left" w:pos="837"/>
        </w:tabs>
        <w:spacing w:line="293" w:lineRule="exact"/>
        <w:rPr>
          <w:sz w:val="24"/>
        </w:rPr>
      </w:pPr>
      <w:r>
        <w:rPr>
          <w:sz w:val="24"/>
        </w:rPr>
        <w:t>Lack of social justice r</w:t>
      </w:r>
      <w:r>
        <w:rPr>
          <w:sz w:val="24"/>
        </w:rPr>
        <w:t>anks high in East- and</w:t>
      </w:r>
      <w:r>
        <w:rPr>
          <w:spacing w:val="-5"/>
          <w:sz w:val="24"/>
        </w:rPr>
        <w:t xml:space="preserve"> </w:t>
      </w:r>
      <w:r>
        <w:rPr>
          <w:sz w:val="24"/>
        </w:rPr>
        <w:t>South-Europe.</w:t>
      </w:r>
    </w:p>
    <w:p w:rsidR="00C94252" w:rsidRDefault="00A33443">
      <w:pPr>
        <w:pStyle w:val="Listeavsnitt"/>
        <w:numPr>
          <w:ilvl w:val="0"/>
          <w:numId w:val="7"/>
        </w:numPr>
        <w:tabs>
          <w:tab w:val="left" w:pos="836"/>
          <w:tab w:val="left" w:pos="837"/>
        </w:tabs>
        <w:spacing w:line="293" w:lineRule="exact"/>
        <w:rPr>
          <w:sz w:val="24"/>
        </w:rPr>
      </w:pPr>
      <w:r>
        <w:rPr>
          <w:sz w:val="24"/>
        </w:rPr>
        <w:t>Comprehensive strategic planning potentially reduces problems with</w:t>
      </w:r>
      <w:r>
        <w:rPr>
          <w:spacing w:val="-8"/>
          <w:sz w:val="24"/>
        </w:rPr>
        <w:t xml:space="preserve"> </w:t>
      </w:r>
      <w:r>
        <w:rPr>
          <w:sz w:val="24"/>
        </w:rPr>
        <w:t>resistance.</w:t>
      </w:r>
    </w:p>
    <w:p w:rsidR="00C94252" w:rsidRDefault="00C94252">
      <w:pPr>
        <w:spacing w:line="293" w:lineRule="exact"/>
        <w:rPr>
          <w:sz w:val="24"/>
        </w:rPr>
        <w:sectPr w:rsidR="00C94252">
          <w:footerReference w:type="default" r:id="rId14"/>
          <w:type w:val="continuous"/>
          <w:pgSz w:w="11900" w:h="16850"/>
          <w:pgMar w:top="1200" w:right="1220" w:bottom="940" w:left="1300" w:header="708" w:footer="751" w:gutter="0"/>
          <w:pgNumType w:start="1"/>
          <w:cols w:space="708"/>
        </w:sectPr>
      </w:pPr>
    </w:p>
    <w:p w:rsidR="00C94252" w:rsidRDefault="00A33443">
      <w:pPr>
        <w:pStyle w:val="Overskrift1"/>
        <w:spacing w:before="75"/>
      </w:pPr>
      <w:r>
        <w:lastRenderedPageBreak/>
        <w:t>Graphical Abstract</w:t>
      </w:r>
    </w:p>
    <w:p w:rsidR="00C94252" w:rsidRDefault="00A33443">
      <w:pPr>
        <w:pStyle w:val="Brdtekst"/>
        <w:spacing w:before="8"/>
        <w:rPr>
          <w:b/>
          <w:sz w:val="20"/>
        </w:rPr>
      </w:pPr>
      <w:r>
        <w:rPr>
          <w:noProof/>
          <w:lang w:val="nb-NO" w:eastAsia="nb-NO"/>
        </w:rPr>
        <w:drawing>
          <wp:anchor distT="0" distB="0" distL="0" distR="0" simplePos="0" relativeHeight="251658240" behindDoc="0" locked="0" layoutInCell="1" allowOverlap="1">
            <wp:simplePos x="0" y="0"/>
            <wp:positionH relativeFrom="page">
              <wp:posOffset>899794</wp:posOffset>
            </wp:positionH>
            <wp:positionV relativeFrom="paragraph">
              <wp:posOffset>175909</wp:posOffset>
            </wp:positionV>
            <wp:extent cx="5781382" cy="271119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781382" cy="2711196"/>
                    </a:xfrm>
                    <a:prstGeom prst="rect">
                      <a:avLst/>
                    </a:prstGeom>
                  </pic:spPr>
                </pic:pic>
              </a:graphicData>
            </a:graphic>
          </wp:anchor>
        </w:drawing>
      </w:r>
    </w:p>
    <w:p w:rsidR="00C94252" w:rsidRDefault="00C94252">
      <w:pPr>
        <w:pStyle w:val="Brdtekst"/>
        <w:rPr>
          <w:b/>
          <w:sz w:val="26"/>
        </w:rPr>
      </w:pPr>
    </w:p>
    <w:p w:rsidR="00C94252" w:rsidRDefault="00C94252">
      <w:pPr>
        <w:pStyle w:val="Brdtekst"/>
        <w:spacing w:before="1"/>
        <w:rPr>
          <w:b/>
          <w:sz w:val="25"/>
        </w:rPr>
      </w:pPr>
    </w:p>
    <w:p w:rsidR="00C94252" w:rsidRDefault="00A33443">
      <w:pPr>
        <w:ind w:left="116"/>
        <w:rPr>
          <w:b/>
          <w:sz w:val="24"/>
        </w:rPr>
      </w:pPr>
      <w:r>
        <w:rPr>
          <w:b/>
          <w:sz w:val="24"/>
        </w:rPr>
        <w:t>Abstract</w:t>
      </w:r>
    </w:p>
    <w:p w:rsidR="00C94252" w:rsidRDefault="00A33443">
      <w:pPr>
        <w:pStyle w:val="Brdtekst"/>
        <w:spacing w:before="96"/>
        <w:ind w:left="116" w:right="190"/>
        <w:jc w:val="both"/>
      </w:pPr>
      <w:r>
        <w:t>The successful transition towards renewable energy (RE) technologies is closely intertwined with various societal aspects. Wind energy (WE) is one of the most controversial RE-types, possibly due to the multiplicity of related public concerns. Alt</w:t>
      </w:r>
      <w:r>
        <w:t>hough some European country- comparisons exist, research concerning acceptance factors in different political and cultural planning</w:t>
      </w:r>
      <w:r>
        <w:rPr>
          <w:spacing w:val="-10"/>
        </w:rPr>
        <w:t xml:space="preserve"> </w:t>
      </w:r>
      <w:r>
        <w:t>contexts</w:t>
      </w:r>
      <w:r>
        <w:rPr>
          <w:spacing w:val="-5"/>
        </w:rPr>
        <w:t xml:space="preserve"> </w:t>
      </w:r>
      <w:r>
        <w:t>is</w:t>
      </w:r>
      <w:r>
        <w:rPr>
          <w:spacing w:val="-6"/>
        </w:rPr>
        <w:t xml:space="preserve"> </w:t>
      </w:r>
      <w:r>
        <w:t>scarce,</w:t>
      </w:r>
      <w:r>
        <w:rPr>
          <w:spacing w:val="-6"/>
        </w:rPr>
        <w:t xml:space="preserve"> </w:t>
      </w:r>
      <w:r>
        <w:t>especially</w:t>
      </w:r>
      <w:r>
        <w:rPr>
          <w:spacing w:val="-10"/>
        </w:rPr>
        <w:t xml:space="preserve"> </w:t>
      </w:r>
      <w:r>
        <w:t>in</w:t>
      </w:r>
      <w:r>
        <w:rPr>
          <w:spacing w:val="-6"/>
        </w:rPr>
        <w:t xml:space="preserve"> </w:t>
      </w:r>
      <w:r>
        <w:t>Eastern</w:t>
      </w:r>
      <w:r>
        <w:rPr>
          <w:spacing w:val="-4"/>
        </w:rPr>
        <w:t xml:space="preserve"> </w:t>
      </w:r>
      <w:r>
        <w:t>and</w:t>
      </w:r>
      <w:r>
        <w:rPr>
          <w:spacing w:val="-6"/>
        </w:rPr>
        <w:t xml:space="preserve"> </w:t>
      </w:r>
      <w:r>
        <w:t>Southern</w:t>
      </w:r>
      <w:r>
        <w:rPr>
          <w:spacing w:val="-6"/>
        </w:rPr>
        <w:t xml:space="preserve"> </w:t>
      </w:r>
      <w:r>
        <w:t>Europe.</w:t>
      </w:r>
      <w:r>
        <w:rPr>
          <w:spacing w:val="-6"/>
        </w:rPr>
        <w:t xml:space="preserve"> </w:t>
      </w:r>
      <w:r>
        <w:t>This</w:t>
      </w:r>
      <w:r>
        <w:rPr>
          <w:spacing w:val="-5"/>
        </w:rPr>
        <w:t xml:space="preserve"> </w:t>
      </w:r>
      <w:r>
        <w:t>paper</w:t>
      </w:r>
      <w:r>
        <w:rPr>
          <w:spacing w:val="-6"/>
        </w:rPr>
        <w:t xml:space="preserve"> </w:t>
      </w:r>
      <w:r>
        <w:t>explores</w:t>
      </w:r>
      <w:r>
        <w:rPr>
          <w:spacing w:val="-6"/>
        </w:rPr>
        <w:t xml:space="preserve"> </w:t>
      </w:r>
      <w:r>
        <w:t>the variation</w:t>
      </w:r>
      <w:r>
        <w:rPr>
          <w:spacing w:val="-11"/>
        </w:rPr>
        <w:t xml:space="preserve"> </w:t>
      </w:r>
      <w:r>
        <w:t>of</w:t>
      </w:r>
      <w:r>
        <w:rPr>
          <w:spacing w:val="-12"/>
        </w:rPr>
        <w:t xml:space="preserve"> </w:t>
      </w:r>
      <w:r>
        <w:t>(1)</w:t>
      </w:r>
      <w:r>
        <w:rPr>
          <w:spacing w:val="-9"/>
        </w:rPr>
        <w:t xml:space="preserve"> </w:t>
      </w:r>
      <w:r>
        <w:t>acceptance</w:t>
      </w:r>
      <w:r>
        <w:rPr>
          <w:spacing w:val="-11"/>
        </w:rPr>
        <w:t xml:space="preserve"> </w:t>
      </w:r>
      <w:r>
        <w:t>issues</w:t>
      </w:r>
      <w:r>
        <w:rPr>
          <w:spacing w:val="-11"/>
        </w:rPr>
        <w:t xml:space="preserve"> </w:t>
      </w:r>
      <w:r>
        <w:t>across</w:t>
      </w:r>
      <w:r>
        <w:rPr>
          <w:spacing w:val="-10"/>
        </w:rPr>
        <w:t xml:space="preserve"> </w:t>
      </w:r>
      <w:r>
        <w:t>Europe,</w:t>
      </w:r>
      <w:r>
        <w:rPr>
          <w:spacing w:val="-11"/>
        </w:rPr>
        <w:t xml:space="preserve"> </w:t>
      </w:r>
      <w:r>
        <w:t>and</w:t>
      </w:r>
      <w:r>
        <w:rPr>
          <w:spacing w:val="-10"/>
        </w:rPr>
        <w:t xml:space="preserve"> </w:t>
      </w:r>
      <w:r>
        <w:t>(2)</w:t>
      </w:r>
      <w:r>
        <w:rPr>
          <w:spacing w:val="-12"/>
        </w:rPr>
        <w:t xml:space="preserve"> </w:t>
      </w:r>
      <w:r>
        <w:t>patterns</w:t>
      </w:r>
      <w:r>
        <w:rPr>
          <w:spacing w:val="-11"/>
        </w:rPr>
        <w:t xml:space="preserve"> </w:t>
      </w:r>
      <w:r>
        <w:t>of</w:t>
      </w:r>
      <w:r>
        <w:rPr>
          <w:spacing w:val="-12"/>
        </w:rPr>
        <w:t xml:space="preserve"> </w:t>
      </w:r>
      <w:r>
        <w:t>strategic</w:t>
      </w:r>
      <w:r>
        <w:rPr>
          <w:spacing w:val="-10"/>
        </w:rPr>
        <w:t xml:space="preserve"> </w:t>
      </w:r>
      <w:r>
        <w:t>and</w:t>
      </w:r>
      <w:r>
        <w:rPr>
          <w:spacing w:val="-10"/>
        </w:rPr>
        <w:t xml:space="preserve"> </w:t>
      </w:r>
      <w:r>
        <w:t>local</w:t>
      </w:r>
      <w:r>
        <w:rPr>
          <w:spacing w:val="-10"/>
        </w:rPr>
        <w:t xml:space="preserve"> </w:t>
      </w:r>
      <w:r>
        <w:t>planning in affecting WE acceptance. We conducted an expert survey among the members of the</w:t>
      </w:r>
      <w:r>
        <w:rPr>
          <w:spacing w:val="-35"/>
        </w:rPr>
        <w:t xml:space="preserve"> </w:t>
      </w:r>
      <w:r>
        <w:t>COST Action ‘Renewable Energy and Landscape Quality’ and the association Wind Energy Europe. We found that ac</w:t>
      </w:r>
      <w:r>
        <w:t>ceptance issues – as perceived by the experts – across different regions in Europe</w:t>
      </w:r>
      <w:r>
        <w:rPr>
          <w:spacing w:val="-11"/>
        </w:rPr>
        <w:t xml:space="preserve"> </w:t>
      </w:r>
      <w:r>
        <w:t>share</w:t>
      </w:r>
      <w:r>
        <w:rPr>
          <w:spacing w:val="-9"/>
        </w:rPr>
        <w:t xml:space="preserve"> </w:t>
      </w:r>
      <w:r>
        <w:t>certain</w:t>
      </w:r>
      <w:r>
        <w:rPr>
          <w:spacing w:val="-9"/>
        </w:rPr>
        <w:t xml:space="preserve"> </w:t>
      </w:r>
      <w:r>
        <w:t>similarities,</w:t>
      </w:r>
      <w:r>
        <w:rPr>
          <w:spacing w:val="-8"/>
        </w:rPr>
        <w:t xml:space="preserve"> </w:t>
      </w:r>
      <w:r>
        <w:t>such</w:t>
      </w:r>
      <w:r>
        <w:rPr>
          <w:spacing w:val="-9"/>
        </w:rPr>
        <w:t xml:space="preserve"> </w:t>
      </w:r>
      <w:r>
        <w:t>as</w:t>
      </w:r>
      <w:r>
        <w:rPr>
          <w:spacing w:val="-9"/>
        </w:rPr>
        <w:t xml:space="preserve"> </w:t>
      </w:r>
      <w:r>
        <w:t>concerns</w:t>
      </w:r>
      <w:r>
        <w:rPr>
          <w:spacing w:val="-9"/>
        </w:rPr>
        <w:t xml:space="preserve"> </w:t>
      </w:r>
      <w:r>
        <w:t>about</w:t>
      </w:r>
      <w:r>
        <w:rPr>
          <w:spacing w:val="-9"/>
        </w:rPr>
        <w:t xml:space="preserve"> </w:t>
      </w:r>
      <w:r>
        <w:t>landscape</w:t>
      </w:r>
      <w:r>
        <w:rPr>
          <w:spacing w:val="-10"/>
        </w:rPr>
        <w:t xml:space="preserve"> </w:t>
      </w:r>
      <w:r>
        <w:t>impacts.</w:t>
      </w:r>
      <w:r>
        <w:rPr>
          <w:spacing w:val="-6"/>
        </w:rPr>
        <w:t xml:space="preserve"> </w:t>
      </w:r>
      <w:r>
        <w:t>The</w:t>
      </w:r>
      <w:r>
        <w:rPr>
          <w:spacing w:val="-9"/>
        </w:rPr>
        <w:t xml:space="preserve"> </w:t>
      </w:r>
      <w:r>
        <w:t>priority-levels of acceptance issues are specific to each region and link to the planning quality i</w:t>
      </w:r>
      <w:r>
        <w:t>n that</w:t>
      </w:r>
      <w:r>
        <w:rPr>
          <w:spacing w:val="-27"/>
        </w:rPr>
        <w:t xml:space="preserve"> </w:t>
      </w:r>
      <w:r>
        <w:t>context. Planners’ and decision-makers’ increased awareness about the diversity of acceptance issues would allow them to design more appropriate strategic and local planning</w:t>
      </w:r>
      <w:r>
        <w:rPr>
          <w:spacing w:val="-9"/>
        </w:rPr>
        <w:t xml:space="preserve"> </w:t>
      </w:r>
      <w:r>
        <w:t>processes.</w:t>
      </w:r>
    </w:p>
    <w:p w:rsidR="00C94252" w:rsidRDefault="00A33443">
      <w:pPr>
        <w:pStyle w:val="Brdtekst"/>
        <w:spacing w:before="159"/>
        <w:ind w:left="116" w:right="194"/>
        <w:jc w:val="both"/>
      </w:pPr>
      <w:r>
        <w:rPr>
          <w:b/>
        </w:rPr>
        <w:t>Keywords</w:t>
      </w:r>
      <w:r>
        <w:t>: landscape quality; multi-level governance; renewable e</w:t>
      </w:r>
      <w:r>
        <w:t>nergy; resistance; strategic planning; web-survey.</w:t>
      </w:r>
    </w:p>
    <w:p w:rsidR="00C94252" w:rsidRDefault="00C94252">
      <w:pPr>
        <w:pStyle w:val="Brdtekst"/>
        <w:rPr>
          <w:sz w:val="26"/>
        </w:rPr>
      </w:pPr>
    </w:p>
    <w:p w:rsidR="00C94252" w:rsidRDefault="00C94252">
      <w:pPr>
        <w:pStyle w:val="Brdtekst"/>
        <w:spacing w:before="5"/>
        <w:rPr>
          <w:sz w:val="26"/>
        </w:rPr>
      </w:pPr>
    </w:p>
    <w:p w:rsidR="00C94252" w:rsidRDefault="00A33443">
      <w:pPr>
        <w:pStyle w:val="Overskrift1"/>
      </w:pPr>
      <w:r>
        <w:t>1.</w:t>
      </w:r>
      <w:r>
        <w:rPr>
          <w:spacing w:val="59"/>
        </w:rPr>
        <w:t xml:space="preserve"> </w:t>
      </w:r>
      <w:r>
        <w:t>Introduction</w:t>
      </w:r>
    </w:p>
    <w:p w:rsidR="00C94252" w:rsidRDefault="00A33443">
      <w:pPr>
        <w:pStyle w:val="Brdtekst"/>
        <w:spacing w:before="93"/>
        <w:ind w:left="116" w:right="190"/>
        <w:jc w:val="both"/>
      </w:pPr>
      <w:r>
        <w:t>Wind energy (WE) in Europe has been rapidly gaining importance over the last 20 years (Ellis and Ferraro, 2016; Fournis and Fortin, 2017; Haas et al., 2011). According to the European Net</w:t>
      </w:r>
      <w:r>
        <w:t>work</w:t>
      </w:r>
      <w:r>
        <w:rPr>
          <w:spacing w:val="-7"/>
        </w:rPr>
        <w:t xml:space="preserve"> </w:t>
      </w:r>
      <w:r>
        <w:t>of</w:t>
      </w:r>
      <w:r>
        <w:rPr>
          <w:spacing w:val="-7"/>
        </w:rPr>
        <w:t xml:space="preserve"> </w:t>
      </w:r>
      <w:r>
        <w:t>Transmission</w:t>
      </w:r>
      <w:r>
        <w:rPr>
          <w:spacing w:val="-5"/>
        </w:rPr>
        <w:t xml:space="preserve"> </w:t>
      </w:r>
      <w:r>
        <w:t>System</w:t>
      </w:r>
      <w:r>
        <w:rPr>
          <w:spacing w:val="-6"/>
        </w:rPr>
        <w:t xml:space="preserve"> </w:t>
      </w:r>
      <w:r>
        <w:t>Operators</w:t>
      </w:r>
      <w:r>
        <w:rPr>
          <w:spacing w:val="-6"/>
        </w:rPr>
        <w:t xml:space="preserve"> </w:t>
      </w:r>
      <w:r>
        <w:t>for</w:t>
      </w:r>
      <w:r>
        <w:rPr>
          <w:spacing w:val="-8"/>
        </w:rPr>
        <w:t xml:space="preserve"> </w:t>
      </w:r>
      <w:r>
        <w:t>Electricity,</w:t>
      </w:r>
      <w:r>
        <w:rPr>
          <w:spacing w:val="-5"/>
        </w:rPr>
        <w:t xml:space="preserve"> </w:t>
      </w:r>
      <w:r>
        <w:t>wind</w:t>
      </w:r>
      <w:r>
        <w:rPr>
          <w:spacing w:val="-6"/>
        </w:rPr>
        <w:t xml:space="preserve"> </w:t>
      </w:r>
      <w:r>
        <w:t>energy</w:t>
      </w:r>
      <w:r>
        <w:rPr>
          <w:spacing w:val="-11"/>
        </w:rPr>
        <w:t xml:space="preserve"> </w:t>
      </w:r>
      <w:r>
        <w:t>contributed</w:t>
      </w:r>
      <w:r>
        <w:rPr>
          <w:spacing w:val="-5"/>
        </w:rPr>
        <w:t xml:space="preserve"> </w:t>
      </w:r>
      <w:r>
        <w:t>nearly</w:t>
      </w:r>
      <w:r>
        <w:rPr>
          <w:spacing w:val="-10"/>
        </w:rPr>
        <w:t xml:space="preserve"> </w:t>
      </w:r>
      <w:r>
        <w:t>9% of Europe’s energy production in 2016: this was a third of the total renewable energy (RE) production</w:t>
      </w:r>
      <w:r>
        <w:rPr>
          <w:spacing w:val="-5"/>
        </w:rPr>
        <w:t xml:space="preserve"> </w:t>
      </w:r>
      <w:r>
        <w:t>(ENTSO-E,</w:t>
      </w:r>
      <w:r>
        <w:rPr>
          <w:spacing w:val="-4"/>
        </w:rPr>
        <w:t xml:space="preserve"> </w:t>
      </w:r>
      <w:r>
        <w:t>2016).</w:t>
      </w:r>
      <w:r>
        <w:rPr>
          <w:spacing w:val="-4"/>
        </w:rPr>
        <w:t xml:space="preserve"> </w:t>
      </w:r>
      <w:r>
        <w:t>Since</w:t>
      </w:r>
      <w:r>
        <w:rPr>
          <w:spacing w:val="-5"/>
        </w:rPr>
        <w:t xml:space="preserve"> </w:t>
      </w:r>
      <w:r>
        <w:t>wind</w:t>
      </w:r>
      <w:r>
        <w:rPr>
          <w:spacing w:val="-5"/>
        </w:rPr>
        <w:t xml:space="preserve"> </w:t>
      </w:r>
      <w:r>
        <w:t>power</w:t>
      </w:r>
      <w:r>
        <w:rPr>
          <w:spacing w:val="-5"/>
        </w:rPr>
        <w:t xml:space="preserve"> </w:t>
      </w:r>
      <w:r>
        <w:t>installations</w:t>
      </w:r>
      <w:r>
        <w:rPr>
          <w:spacing w:val="-2"/>
        </w:rPr>
        <w:t xml:space="preserve"> </w:t>
      </w:r>
      <w:r>
        <w:t>are</w:t>
      </w:r>
      <w:r>
        <w:rPr>
          <w:spacing w:val="-6"/>
        </w:rPr>
        <w:t xml:space="preserve"> </w:t>
      </w:r>
      <w:r>
        <w:t>often</w:t>
      </w:r>
      <w:r>
        <w:rPr>
          <w:spacing w:val="-5"/>
        </w:rPr>
        <w:t xml:space="preserve"> </w:t>
      </w:r>
      <w:r>
        <w:t>perceived</w:t>
      </w:r>
      <w:r>
        <w:rPr>
          <w:spacing w:val="-3"/>
        </w:rPr>
        <w:t xml:space="preserve"> </w:t>
      </w:r>
      <w:r>
        <w:t>as</w:t>
      </w:r>
      <w:r>
        <w:rPr>
          <w:spacing w:val="-4"/>
        </w:rPr>
        <w:t xml:space="preserve"> </w:t>
      </w:r>
      <w:r>
        <w:t>exerting</w:t>
      </w:r>
      <w:r>
        <w:rPr>
          <w:spacing w:val="-6"/>
        </w:rPr>
        <w:t xml:space="preserve"> </w:t>
      </w:r>
      <w:r>
        <w:t>a strongly</w:t>
      </w:r>
      <w:r>
        <w:rPr>
          <w:spacing w:val="-18"/>
        </w:rPr>
        <w:t xml:space="preserve"> </w:t>
      </w:r>
      <w:r>
        <w:t>negative</w:t>
      </w:r>
      <w:r>
        <w:rPr>
          <w:spacing w:val="-13"/>
        </w:rPr>
        <w:t xml:space="preserve"> </w:t>
      </w:r>
      <w:r>
        <w:t>impact</w:t>
      </w:r>
      <w:r>
        <w:rPr>
          <w:spacing w:val="-10"/>
        </w:rPr>
        <w:t xml:space="preserve"> </w:t>
      </w:r>
      <w:r>
        <w:t>on</w:t>
      </w:r>
      <w:r>
        <w:rPr>
          <w:spacing w:val="-12"/>
        </w:rPr>
        <w:t xml:space="preserve"> </w:t>
      </w:r>
      <w:r>
        <w:t>the</w:t>
      </w:r>
      <w:r>
        <w:rPr>
          <w:spacing w:val="-14"/>
        </w:rPr>
        <w:t xml:space="preserve"> </w:t>
      </w:r>
      <w:r>
        <w:t>visual</w:t>
      </w:r>
      <w:r>
        <w:rPr>
          <w:spacing w:val="-10"/>
        </w:rPr>
        <w:t xml:space="preserve"> </w:t>
      </w:r>
      <w:r>
        <w:t>aesthetics</w:t>
      </w:r>
      <w:r>
        <w:rPr>
          <w:spacing w:val="-10"/>
        </w:rPr>
        <w:t xml:space="preserve"> </w:t>
      </w:r>
      <w:r>
        <w:t>of</w:t>
      </w:r>
      <w:r>
        <w:rPr>
          <w:spacing w:val="-12"/>
        </w:rPr>
        <w:t xml:space="preserve"> </w:t>
      </w:r>
      <w:r>
        <w:t>landscapes</w:t>
      </w:r>
      <w:r>
        <w:rPr>
          <w:spacing w:val="-12"/>
        </w:rPr>
        <w:t xml:space="preserve"> </w:t>
      </w:r>
      <w:r>
        <w:t>(Pasqualetti,</w:t>
      </w:r>
      <w:r>
        <w:rPr>
          <w:spacing w:val="-10"/>
        </w:rPr>
        <w:t xml:space="preserve"> </w:t>
      </w:r>
      <w:r>
        <w:t>2011),</w:t>
      </w:r>
      <w:r>
        <w:rPr>
          <w:spacing w:val="-12"/>
        </w:rPr>
        <w:t xml:space="preserve"> </w:t>
      </w:r>
      <w:r>
        <w:t>wind</w:t>
      </w:r>
      <w:r>
        <w:rPr>
          <w:spacing w:val="-11"/>
        </w:rPr>
        <w:t xml:space="preserve"> </w:t>
      </w:r>
      <w:r>
        <w:t>energy is</w:t>
      </w:r>
      <w:r>
        <w:rPr>
          <w:spacing w:val="-14"/>
        </w:rPr>
        <w:t xml:space="preserve"> </w:t>
      </w:r>
      <w:r>
        <w:t>one</w:t>
      </w:r>
      <w:r>
        <w:rPr>
          <w:spacing w:val="-14"/>
        </w:rPr>
        <w:t xml:space="preserve"> </w:t>
      </w:r>
      <w:r>
        <w:t>of</w:t>
      </w:r>
      <w:r>
        <w:rPr>
          <w:spacing w:val="-14"/>
        </w:rPr>
        <w:t xml:space="preserve"> </w:t>
      </w:r>
      <w:r>
        <w:t>the</w:t>
      </w:r>
      <w:r>
        <w:rPr>
          <w:spacing w:val="-14"/>
        </w:rPr>
        <w:t xml:space="preserve"> </w:t>
      </w:r>
      <w:r>
        <w:t>most</w:t>
      </w:r>
      <w:r>
        <w:rPr>
          <w:spacing w:val="-15"/>
        </w:rPr>
        <w:t xml:space="preserve"> </w:t>
      </w:r>
      <w:r>
        <w:t>controversial</w:t>
      </w:r>
      <w:r>
        <w:rPr>
          <w:spacing w:val="-12"/>
        </w:rPr>
        <w:t xml:space="preserve"> </w:t>
      </w:r>
      <w:r>
        <w:t>RE</w:t>
      </w:r>
      <w:r>
        <w:rPr>
          <w:spacing w:val="-15"/>
        </w:rPr>
        <w:t xml:space="preserve"> </w:t>
      </w:r>
      <w:r>
        <w:t>types</w:t>
      </w:r>
      <w:r>
        <w:rPr>
          <w:spacing w:val="-13"/>
        </w:rPr>
        <w:t xml:space="preserve"> </w:t>
      </w:r>
      <w:r>
        <w:t>in</w:t>
      </w:r>
      <w:r>
        <w:rPr>
          <w:spacing w:val="-13"/>
        </w:rPr>
        <w:t xml:space="preserve"> </w:t>
      </w:r>
      <w:r>
        <w:t>terms</w:t>
      </w:r>
      <w:r>
        <w:rPr>
          <w:spacing w:val="-13"/>
        </w:rPr>
        <w:t xml:space="preserve"> </w:t>
      </w:r>
      <w:r>
        <w:t>of</w:t>
      </w:r>
      <w:r>
        <w:rPr>
          <w:spacing w:val="-14"/>
        </w:rPr>
        <w:t xml:space="preserve"> </w:t>
      </w:r>
      <w:r>
        <w:t>public</w:t>
      </w:r>
      <w:r>
        <w:rPr>
          <w:spacing w:val="-14"/>
        </w:rPr>
        <w:t xml:space="preserve"> </w:t>
      </w:r>
      <w:r>
        <w:t>acceptance.</w:t>
      </w:r>
      <w:r>
        <w:rPr>
          <w:spacing w:val="-14"/>
        </w:rPr>
        <w:t xml:space="preserve"> </w:t>
      </w:r>
      <w:r>
        <w:t>Many</w:t>
      </w:r>
      <w:r>
        <w:rPr>
          <w:spacing w:val="-16"/>
        </w:rPr>
        <w:t xml:space="preserve"> </w:t>
      </w:r>
      <w:r>
        <w:t>regions</w:t>
      </w:r>
      <w:r>
        <w:rPr>
          <w:spacing w:val="-12"/>
        </w:rPr>
        <w:t xml:space="preserve"> </w:t>
      </w:r>
      <w:r>
        <w:t>in</w:t>
      </w:r>
      <w:r>
        <w:rPr>
          <w:spacing w:val="-13"/>
        </w:rPr>
        <w:t xml:space="preserve"> </w:t>
      </w:r>
      <w:r>
        <w:t>Europe experience opposition to wind and other RE developments, and as such, adapting planning processes to minimise public resistance is crucial (Hyland and Bertsch,</w:t>
      </w:r>
      <w:r>
        <w:rPr>
          <w:spacing w:val="-3"/>
        </w:rPr>
        <w:t xml:space="preserve"> </w:t>
      </w:r>
      <w:r>
        <w:t>2018).</w:t>
      </w:r>
    </w:p>
    <w:p w:rsidR="00C94252" w:rsidRDefault="00A33443">
      <w:pPr>
        <w:pStyle w:val="Brdtekst"/>
        <w:spacing w:before="162"/>
        <w:ind w:left="116" w:right="192"/>
        <w:jc w:val="both"/>
      </w:pPr>
      <w:r>
        <w:t>Numerous case studies have been conducted on WE acceptance and planning in differe</w:t>
      </w:r>
      <w:r>
        <w:t>nt countries across Europe. Far fewer comparative studies exist in e.g., England, Wales and</w:t>
      </w:r>
    </w:p>
    <w:p w:rsidR="00C94252" w:rsidRDefault="00C94252">
      <w:pPr>
        <w:jc w:val="both"/>
        <w:sectPr w:rsidR="00C94252">
          <w:pgSz w:w="11900" w:h="16850"/>
          <w:pgMar w:top="1200" w:right="1220" w:bottom="940" w:left="1300" w:header="0" w:footer="751" w:gutter="0"/>
          <w:cols w:space="708"/>
        </w:sectPr>
      </w:pPr>
    </w:p>
    <w:p w:rsidR="00C94252" w:rsidRDefault="00A33443">
      <w:pPr>
        <w:pStyle w:val="Brdtekst"/>
        <w:spacing w:before="70"/>
        <w:ind w:left="116" w:right="189"/>
        <w:jc w:val="both"/>
      </w:pPr>
      <w:r>
        <w:lastRenderedPageBreak/>
        <w:t>Denmark (McLaren Loring, 2007), the Netherlands, England and North-Rhine Westphalia (Breukers and Wolsink, 2007), Finland, Sweden and Norway (Liljenfeldt, 2015), France and Germany (Jobert et al., 2007), or Czech Republic and Austria (Frantál and Kucera, 2</w:t>
      </w:r>
      <w:r>
        <w:t>009). Research that compares and contrasts acceptance in various country and regional contexts is specifically lacking. This would be particularly valuable, as WE planning is closely related to diverse</w:t>
      </w:r>
      <w:r>
        <w:rPr>
          <w:spacing w:val="-10"/>
        </w:rPr>
        <w:t xml:space="preserve"> </w:t>
      </w:r>
      <w:r>
        <w:t>spatial</w:t>
      </w:r>
      <w:r>
        <w:rPr>
          <w:spacing w:val="-8"/>
        </w:rPr>
        <w:t xml:space="preserve"> </w:t>
      </w:r>
      <w:r>
        <w:t>planning</w:t>
      </w:r>
      <w:r>
        <w:rPr>
          <w:spacing w:val="-11"/>
        </w:rPr>
        <w:t xml:space="preserve"> </w:t>
      </w:r>
      <w:r>
        <w:t>systems,</w:t>
      </w:r>
      <w:r>
        <w:rPr>
          <w:spacing w:val="-7"/>
        </w:rPr>
        <w:t xml:space="preserve"> </w:t>
      </w:r>
      <w:r>
        <w:t>traditions</w:t>
      </w:r>
      <w:r>
        <w:rPr>
          <w:spacing w:val="-8"/>
        </w:rPr>
        <w:t xml:space="preserve"> </w:t>
      </w:r>
      <w:r>
        <w:t>and</w:t>
      </w:r>
      <w:r>
        <w:rPr>
          <w:spacing w:val="-9"/>
        </w:rPr>
        <w:t xml:space="preserve"> </w:t>
      </w:r>
      <w:r>
        <w:t>cultures</w:t>
      </w:r>
      <w:r>
        <w:rPr>
          <w:spacing w:val="-9"/>
        </w:rPr>
        <w:t xml:space="preserve"> </w:t>
      </w:r>
      <w:r>
        <w:t>acro</w:t>
      </w:r>
      <w:r>
        <w:t>ss</w:t>
      </w:r>
      <w:r>
        <w:rPr>
          <w:spacing w:val="-9"/>
        </w:rPr>
        <w:t xml:space="preserve"> </w:t>
      </w:r>
      <w:r>
        <w:t>Europe</w:t>
      </w:r>
      <w:r>
        <w:rPr>
          <w:spacing w:val="-9"/>
        </w:rPr>
        <w:t xml:space="preserve"> </w:t>
      </w:r>
      <w:r>
        <w:t>(Nadin</w:t>
      </w:r>
      <w:r>
        <w:rPr>
          <w:spacing w:val="-8"/>
        </w:rPr>
        <w:t xml:space="preserve"> </w:t>
      </w:r>
      <w:r>
        <w:t>and</w:t>
      </w:r>
      <w:r>
        <w:rPr>
          <w:spacing w:val="-8"/>
        </w:rPr>
        <w:t xml:space="preserve"> </w:t>
      </w:r>
      <w:r>
        <w:t>Stead,</w:t>
      </w:r>
      <w:r>
        <w:rPr>
          <w:spacing w:val="-9"/>
        </w:rPr>
        <w:t xml:space="preserve"> </w:t>
      </w:r>
      <w:r>
        <w:t>2013; Othengrafen, 2010; Reimer and Blotevogel, 2012). Thus, studying acceptance problems in</w:t>
      </w:r>
      <w:r>
        <w:rPr>
          <w:spacing w:val="-42"/>
        </w:rPr>
        <w:t xml:space="preserve"> </w:t>
      </w:r>
      <w:r>
        <w:t>this context provides important clues related to how synergies between planning procedures and energy policies can be identified and ut</w:t>
      </w:r>
      <w:r>
        <w:t>ilised in various socio-cultural</w:t>
      </w:r>
      <w:r>
        <w:rPr>
          <w:spacing w:val="-6"/>
        </w:rPr>
        <w:t xml:space="preserve"> </w:t>
      </w:r>
      <w:r>
        <w:t>contexts.</w:t>
      </w:r>
    </w:p>
    <w:p w:rsidR="00C94252" w:rsidRDefault="00A33443">
      <w:pPr>
        <w:pStyle w:val="Brdtekst"/>
        <w:spacing w:before="159"/>
        <w:ind w:left="116" w:right="190"/>
        <w:jc w:val="both"/>
      </w:pPr>
      <w:r>
        <w:t>A</w:t>
      </w:r>
      <w:r>
        <w:rPr>
          <w:spacing w:val="-8"/>
        </w:rPr>
        <w:t xml:space="preserve"> </w:t>
      </w:r>
      <w:r>
        <w:t>number</w:t>
      </w:r>
      <w:r>
        <w:rPr>
          <w:spacing w:val="-8"/>
        </w:rPr>
        <w:t xml:space="preserve"> </w:t>
      </w:r>
      <w:r>
        <w:t>of</w:t>
      </w:r>
      <w:r>
        <w:rPr>
          <w:spacing w:val="-7"/>
        </w:rPr>
        <w:t xml:space="preserve"> </w:t>
      </w:r>
      <w:r>
        <w:t>socio-psychological,</w:t>
      </w:r>
      <w:r>
        <w:rPr>
          <w:spacing w:val="-5"/>
        </w:rPr>
        <w:t xml:space="preserve"> </w:t>
      </w:r>
      <w:r>
        <w:t>procedural</w:t>
      </w:r>
      <w:r>
        <w:rPr>
          <w:spacing w:val="-6"/>
        </w:rPr>
        <w:t xml:space="preserve"> </w:t>
      </w:r>
      <w:r>
        <w:t>and</w:t>
      </w:r>
      <w:r>
        <w:rPr>
          <w:spacing w:val="-7"/>
        </w:rPr>
        <w:t xml:space="preserve"> </w:t>
      </w:r>
      <w:r>
        <w:t>contextual</w:t>
      </w:r>
      <w:r>
        <w:rPr>
          <w:spacing w:val="-5"/>
        </w:rPr>
        <w:t xml:space="preserve"> </w:t>
      </w:r>
      <w:r>
        <w:t>factors</w:t>
      </w:r>
      <w:r>
        <w:rPr>
          <w:spacing w:val="-7"/>
        </w:rPr>
        <w:t xml:space="preserve"> </w:t>
      </w:r>
      <w:r>
        <w:t>affect</w:t>
      </w:r>
      <w:r>
        <w:rPr>
          <w:spacing w:val="-6"/>
        </w:rPr>
        <w:t xml:space="preserve"> </w:t>
      </w:r>
      <w:r>
        <w:t>social</w:t>
      </w:r>
      <w:r>
        <w:rPr>
          <w:spacing w:val="-6"/>
        </w:rPr>
        <w:t xml:space="preserve"> </w:t>
      </w:r>
      <w:r>
        <w:t>acceptance</w:t>
      </w:r>
      <w:r>
        <w:rPr>
          <w:spacing w:val="-8"/>
        </w:rPr>
        <w:t xml:space="preserve"> </w:t>
      </w:r>
      <w:r>
        <w:t xml:space="preserve">of RE technologies (Devine-Wright, 2007; Ellis and Ferraro, 2016; Huijts et al., 2012). Concerning </w:t>
      </w:r>
      <w:r>
        <w:rPr>
          <w:i/>
        </w:rPr>
        <w:t xml:space="preserve">socio-psychological </w:t>
      </w:r>
      <w:r>
        <w:t>fa</w:t>
      </w:r>
      <w:r>
        <w:t>ctors, one of the most widely studied areas of research is related to landscape: foremost how the ‘resistance’ of WE can be explained by aesthetic concerns, wider (visual) impacts on landscape (Pasqualetti, 2011) or place attachment and identity (Devine-Wr</w:t>
      </w:r>
      <w:r>
        <w:t xml:space="preserve">ight and Howes, 2010). Another often highlighted aspect influencing WE acceptance is the </w:t>
      </w:r>
      <w:r>
        <w:rPr>
          <w:i/>
        </w:rPr>
        <w:t xml:space="preserve">process </w:t>
      </w:r>
      <w:r>
        <w:t>of realizing WE projects (Aitken, 2010; Anderson, 2013; Raven et al., 2009). Here, among the most important factors are found to be trust and procedural</w:t>
      </w:r>
      <w:r>
        <w:rPr>
          <w:spacing w:val="-40"/>
        </w:rPr>
        <w:t xml:space="preserve"> </w:t>
      </w:r>
      <w:r>
        <w:t>justic</w:t>
      </w:r>
      <w:r>
        <w:t>e,</w:t>
      </w:r>
    </w:p>
    <w:p w:rsidR="00C94252" w:rsidRDefault="00A33443">
      <w:pPr>
        <w:pStyle w:val="Listeavsnitt"/>
        <w:numPr>
          <w:ilvl w:val="1"/>
          <w:numId w:val="6"/>
        </w:numPr>
        <w:tabs>
          <w:tab w:val="left" w:pos="479"/>
        </w:tabs>
        <w:spacing w:before="1"/>
        <w:ind w:right="189" w:firstLine="0"/>
        <w:jc w:val="both"/>
        <w:rPr>
          <w:sz w:val="24"/>
        </w:rPr>
      </w:pPr>
      <w:r>
        <w:rPr>
          <w:sz w:val="24"/>
        </w:rPr>
        <w:t>how the decisions are made (e.g., Walker et al., 2010), and distributional justice, i.e. how the</w:t>
      </w:r>
      <w:r>
        <w:rPr>
          <w:spacing w:val="-7"/>
          <w:sz w:val="24"/>
        </w:rPr>
        <w:t xml:space="preserve"> </w:t>
      </w:r>
      <w:r>
        <w:rPr>
          <w:sz w:val="24"/>
        </w:rPr>
        <w:t>benefits</w:t>
      </w:r>
      <w:r>
        <w:rPr>
          <w:spacing w:val="-5"/>
          <w:sz w:val="24"/>
        </w:rPr>
        <w:t xml:space="preserve"> </w:t>
      </w:r>
      <w:r>
        <w:rPr>
          <w:sz w:val="24"/>
        </w:rPr>
        <w:t>of</w:t>
      </w:r>
      <w:r>
        <w:rPr>
          <w:spacing w:val="-6"/>
          <w:sz w:val="24"/>
        </w:rPr>
        <w:t xml:space="preserve"> </w:t>
      </w:r>
      <w:r>
        <w:rPr>
          <w:sz w:val="24"/>
        </w:rPr>
        <w:t>decision-making</w:t>
      </w:r>
      <w:r>
        <w:rPr>
          <w:spacing w:val="-6"/>
          <w:sz w:val="24"/>
        </w:rPr>
        <w:t xml:space="preserve"> </w:t>
      </w:r>
      <w:r>
        <w:rPr>
          <w:sz w:val="24"/>
        </w:rPr>
        <w:t>are</w:t>
      </w:r>
      <w:r>
        <w:rPr>
          <w:spacing w:val="-5"/>
          <w:sz w:val="24"/>
        </w:rPr>
        <w:t xml:space="preserve"> </w:t>
      </w:r>
      <w:r>
        <w:rPr>
          <w:sz w:val="24"/>
        </w:rPr>
        <w:t>distributed</w:t>
      </w:r>
      <w:r>
        <w:rPr>
          <w:spacing w:val="-6"/>
          <w:sz w:val="24"/>
        </w:rPr>
        <w:t xml:space="preserve"> </w:t>
      </w:r>
      <w:r>
        <w:rPr>
          <w:sz w:val="24"/>
        </w:rPr>
        <w:t>(e.g.,</w:t>
      </w:r>
      <w:r>
        <w:rPr>
          <w:spacing w:val="-4"/>
          <w:sz w:val="24"/>
        </w:rPr>
        <w:t xml:space="preserve"> </w:t>
      </w:r>
      <w:r>
        <w:rPr>
          <w:sz w:val="24"/>
        </w:rPr>
        <w:t>Cowell,</w:t>
      </w:r>
      <w:r>
        <w:rPr>
          <w:spacing w:val="-6"/>
          <w:sz w:val="24"/>
        </w:rPr>
        <w:t xml:space="preserve"> </w:t>
      </w:r>
      <w:r>
        <w:rPr>
          <w:sz w:val="24"/>
        </w:rPr>
        <w:t>2010;</w:t>
      </w:r>
      <w:r>
        <w:rPr>
          <w:spacing w:val="-2"/>
          <w:sz w:val="24"/>
        </w:rPr>
        <w:t xml:space="preserve"> </w:t>
      </w:r>
      <w:r>
        <w:rPr>
          <w:sz w:val="24"/>
        </w:rPr>
        <w:t>Zoellner</w:t>
      </w:r>
      <w:r>
        <w:rPr>
          <w:spacing w:val="-6"/>
          <w:sz w:val="24"/>
        </w:rPr>
        <w:t xml:space="preserve"> </w:t>
      </w:r>
      <w:r>
        <w:rPr>
          <w:sz w:val="24"/>
        </w:rPr>
        <w:t>et</w:t>
      </w:r>
      <w:r>
        <w:rPr>
          <w:spacing w:val="-2"/>
          <w:sz w:val="24"/>
        </w:rPr>
        <w:t xml:space="preserve"> </w:t>
      </w:r>
      <w:r>
        <w:rPr>
          <w:sz w:val="24"/>
        </w:rPr>
        <w:t>al.,</w:t>
      </w:r>
      <w:r>
        <w:rPr>
          <w:spacing w:val="-5"/>
          <w:sz w:val="24"/>
        </w:rPr>
        <w:t xml:space="preserve"> </w:t>
      </w:r>
      <w:r>
        <w:rPr>
          <w:sz w:val="24"/>
        </w:rPr>
        <w:t>2008).</w:t>
      </w:r>
      <w:r>
        <w:rPr>
          <w:spacing w:val="-5"/>
          <w:sz w:val="24"/>
        </w:rPr>
        <w:t xml:space="preserve"> </w:t>
      </w:r>
      <w:r>
        <w:rPr>
          <w:sz w:val="24"/>
        </w:rPr>
        <w:t>With regard to contextual aspects, environmental concerns about WE are important. This includes potentially adverse impacts on biodiversity (Dai et al., 2015), but also aspects of the socio- cultural context of a given WE project (Jobert et al., 2007): suc</w:t>
      </w:r>
      <w:r>
        <w:rPr>
          <w:sz w:val="24"/>
        </w:rPr>
        <w:t>h as the culture of communication and participation (Kontogianni et al., 2014). The current, mostly case study based literature indicates that the significance of different WE acceptance factors is still being debated (Huijts et al.,</w:t>
      </w:r>
      <w:r>
        <w:rPr>
          <w:spacing w:val="-1"/>
          <w:sz w:val="24"/>
        </w:rPr>
        <w:t xml:space="preserve"> </w:t>
      </w:r>
      <w:r>
        <w:rPr>
          <w:sz w:val="24"/>
        </w:rPr>
        <w:t>2012).</w:t>
      </w:r>
    </w:p>
    <w:p w:rsidR="00C94252" w:rsidRDefault="00A33443">
      <w:pPr>
        <w:pStyle w:val="Brdtekst"/>
        <w:spacing w:before="161"/>
        <w:ind w:left="116" w:right="190"/>
        <w:jc w:val="both"/>
      </w:pPr>
      <w:r>
        <w:t>The role of pro</w:t>
      </w:r>
      <w:r>
        <w:t>cedural justice for social acceptance of RE projects is often</w:t>
      </w:r>
      <w:r>
        <w:rPr>
          <w:spacing w:val="40"/>
        </w:rPr>
        <w:t xml:space="preserve"> </w:t>
      </w:r>
      <w:r>
        <w:t>particularly emphasized (Aitken, 2010; Pasqualetti, 2011). However, only a few studies have considered the</w:t>
      </w:r>
      <w:r>
        <w:rPr>
          <w:spacing w:val="-13"/>
        </w:rPr>
        <w:t xml:space="preserve"> </w:t>
      </w:r>
      <w:r>
        <w:t>impact</w:t>
      </w:r>
      <w:r>
        <w:rPr>
          <w:spacing w:val="-10"/>
        </w:rPr>
        <w:t xml:space="preserve"> </w:t>
      </w:r>
      <w:r>
        <w:t>of</w:t>
      </w:r>
      <w:r>
        <w:rPr>
          <w:spacing w:val="-12"/>
        </w:rPr>
        <w:t xml:space="preserve"> </w:t>
      </w:r>
      <w:r>
        <w:t>the</w:t>
      </w:r>
      <w:r>
        <w:rPr>
          <w:spacing w:val="-12"/>
        </w:rPr>
        <w:t xml:space="preserve"> </w:t>
      </w:r>
      <w:r>
        <w:t>strategic</w:t>
      </w:r>
      <w:r>
        <w:rPr>
          <w:spacing w:val="-8"/>
        </w:rPr>
        <w:t xml:space="preserve"> </w:t>
      </w:r>
      <w:r>
        <w:t>planning</w:t>
      </w:r>
      <w:r>
        <w:rPr>
          <w:spacing w:val="-13"/>
        </w:rPr>
        <w:t xml:space="preserve"> </w:t>
      </w:r>
      <w:r>
        <w:t>practices</w:t>
      </w:r>
      <w:r>
        <w:rPr>
          <w:spacing w:val="-10"/>
        </w:rPr>
        <w:t xml:space="preserve"> </w:t>
      </w:r>
      <w:r>
        <w:t>in</w:t>
      </w:r>
      <w:r>
        <w:rPr>
          <w:spacing w:val="-11"/>
        </w:rPr>
        <w:t xml:space="preserve"> </w:t>
      </w:r>
      <w:r>
        <w:t>Europe</w:t>
      </w:r>
      <w:r>
        <w:rPr>
          <w:spacing w:val="-12"/>
        </w:rPr>
        <w:t xml:space="preserve"> </w:t>
      </w:r>
      <w:r>
        <w:t>or</w:t>
      </w:r>
      <w:r>
        <w:rPr>
          <w:spacing w:val="-12"/>
        </w:rPr>
        <w:t xml:space="preserve"> </w:t>
      </w:r>
      <w:r>
        <w:t>the</w:t>
      </w:r>
      <w:r>
        <w:rPr>
          <w:spacing w:val="-12"/>
        </w:rPr>
        <w:t xml:space="preserve"> </w:t>
      </w:r>
      <w:r>
        <w:t>contribution</w:t>
      </w:r>
      <w:r>
        <w:rPr>
          <w:spacing w:val="-10"/>
        </w:rPr>
        <w:t xml:space="preserve"> </w:t>
      </w:r>
      <w:r>
        <w:t>of</w:t>
      </w:r>
      <w:r>
        <w:rPr>
          <w:spacing w:val="-12"/>
        </w:rPr>
        <w:t xml:space="preserve"> </w:t>
      </w:r>
      <w:r>
        <w:t>local</w:t>
      </w:r>
      <w:r>
        <w:rPr>
          <w:spacing w:val="-10"/>
        </w:rPr>
        <w:t xml:space="preserve"> </w:t>
      </w:r>
      <w:r>
        <w:t>parti</w:t>
      </w:r>
      <w:r>
        <w:t>cipation to successful project implementation (Langer et al., 2017). Recent literature highlights that public participation in local renewable energy planning in Europe usually takes place at a late stage: such as the permitting phase, and only seldom in t</w:t>
      </w:r>
      <w:r>
        <w:t>he need-determination phase (e.g., Devine-Wright and Howes 2010). Moreover, participation is often limited to one-directional information</w:t>
      </w:r>
      <w:r>
        <w:rPr>
          <w:spacing w:val="-7"/>
        </w:rPr>
        <w:t xml:space="preserve"> </w:t>
      </w:r>
      <w:r>
        <w:t>sharing</w:t>
      </w:r>
      <w:r>
        <w:rPr>
          <w:spacing w:val="-10"/>
        </w:rPr>
        <w:t xml:space="preserve"> </w:t>
      </w:r>
      <w:r>
        <w:t>and</w:t>
      </w:r>
      <w:r>
        <w:rPr>
          <w:spacing w:val="-5"/>
        </w:rPr>
        <w:t xml:space="preserve"> </w:t>
      </w:r>
      <w:r>
        <w:t>pursues</w:t>
      </w:r>
      <w:r>
        <w:rPr>
          <w:spacing w:val="-5"/>
        </w:rPr>
        <w:t xml:space="preserve"> </w:t>
      </w:r>
      <w:r>
        <w:t>primarily</w:t>
      </w:r>
      <w:r>
        <w:rPr>
          <w:spacing w:val="-12"/>
        </w:rPr>
        <w:t xml:space="preserve"> </w:t>
      </w:r>
      <w:r>
        <w:t>instrumental</w:t>
      </w:r>
      <w:r>
        <w:rPr>
          <w:spacing w:val="-6"/>
        </w:rPr>
        <w:t xml:space="preserve"> </w:t>
      </w:r>
      <w:r>
        <w:t>goals</w:t>
      </w:r>
      <w:r>
        <w:rPr>
          <w:spacing w:val="-6"/>
        </w:rPr>
        <w:t xml:space="preserve"> </w:t>
      </w:r>
      <w:r>
        <w:t>(legitimization</w:t>
      </w:r>
      <w:r>
        <w:rPr>
          <w:spacing w:val="-6"/>
        </w:rPr>
        <w:t xml:space="preserve"> </w:t>
      </w:r>
      <w:r>
        <w:t>of</w:t>
      </w:r>
      <w:r>
        <w:rPr>
          <w:spacing w:val="-7"/>
        </w:rPr>
        <w:t xml:space="preserve"> </w:t>
      </w:r>
      <w:r>
        <w:t>a</w:t>
      </w:r>
      <w:r>
        <w:rPr>
          <w:spacing w:val="-7"/>
        </w:rPr>
        <w:t xml:space="preserve"> </w:t>
      </w:r>
      <w:r>
        <w:t>project)</w:t>
      </w:r>
      <w:r>
        <w:rPr>
          <w:spacing w:val="-7"/>
        </w:rPr>
        <w:t xml:space="preserve"> </w:t>
      </w:r>
      <w:r>
        <w:t>(e.g., Aitken et al., 2016). Fournis and Fortin (2017) emphasize that different levels of analysis in studying WE acceptance are needed. They point out that research is mainly focused on the ‘micro-social’ level, i.e. the perceptions held by the individual</w:t>
      </w:r>
      <w:r>
        <w:t>s and social groups. However, not many studies consider wider levels of analysis, such as socio-political and regional</w:t>
      </w:r>
      <w:r>
        <w:rPr>
          <w:spacing w:val="-27"/>
        </w:rPr>
        <w:t xml:space="preserve"> </w:t>
      </w:r>
      <w:r>
        <w:t>aspects of WE</w:t>
      </w:r>
      <w:r>
        <w:rPr>
          <w:spacing w:val="-3"/>
        </w:rPr>
        <w:t xml:space="preserve"> </w:t>
      </w:r>
      <w:r>
        <w:t>acceptance.</w:t>
      </w:r>
    </w:p>
    <w:p w:rsidR="00C94252" w:rsidRDefault="00A33443">
      <w:pPr>
        <w:pStyle w:val="Brdtekst"/>
        <w:spacing w:before="159"/>
        <w:ind w:left="116" w:right="190"/>
        <w:jc w:val="both"/>
      </w:pPr>
      <w:r>
        <w:t>This paper addresses the role of process- and contextual factors in affecting wind energy acceptance</w:t>
      </w:r>
      <w:r>
        <w:rPr>
          <w:spacing w:val="-14"/>
        </w:rPr>
        <w:t xml:space="preserve"> </w:t>
      </w:r>
      <w:r>
        <w:t>and</w:t>
      </w:r>
      <w:r>
        <w:rPr>
          <w:spacing w:val="-13"/>
        </w:rPr>
        <w:t xml:space="preserve"> </w:t>
      </w:r>
      <w:r>
        <w:t>their</w:t>
      </w:r>
      <w:r>
        <w:rPr>
          <w:spacing w:val="-14"/>
        </w:rPr>
        <w:t xml:space="preserve"> </w:t>
      </w:r>
      <w:r>
        <w:t>potential</w:t>
      </w:r>
      <w:r>
        <w:rPr>
          <w:spacing w:val="-12"/>
        </w:rPr>
        <w:t xml:space="preserve"> </w:t>
      </w:r>
      <w:r>
        <w:t>variance</w:t>
      </w:r>
      <w:r>
        <w:rPr>
          <w:spacing w:val="-14"/>
        </w:rPr>
        <w:t xml:space="preserve"> </w:t>
      </w:r>
      <w:r>
        <w:t>across</w:t>
      </w:r>
      <w:r>
        <w:rPr>
          <w:spacing w:val="-13"/>
        </w:rPr>
        <w:t xml:space="preserve"> </w:t>
      </w:r>
      <w:r>
        <w:t>Europe.</w:t>
      </w:r>
      <w:r>
        <w:rPr>
          <w:spacing w:val="-13"/>
        </w:rPr>
        <w:t xml:space="preserve"> </w:t>
      </w:r>
      <w:r>
        <w:t>We</w:t>
      </w:r>
      <w:r>
        <w:rPr>
          <w:spacing w:val="-14"/>
        </w:rPr>
        <w:t xml:space="preserve"> </w:t>
      </w:r>
      <w:r>
        <w:t>ask</w:t>
      </w:r>
      <w:r>
        <w:rPr>
          <w:spacing w:val="-13"/>
        </w:rPr>
        <w:t xml:space="preserve"> </w:t>
      </w:r>
      <w:r>
        <w:t>the</w:t>
      </w:r>
      <w:r>
        <w:rPr>
          <w:spacing w:val="-14"/>
        </w:rPr>
        <w:t xml:space="preserve"> </w:t>
      </w:r>
      <w:r>
        <w:t>following</w:t>
      </w:r>
      <w:r>
        <w:rPr>
          <w:spacing w:val="-13"/>
        </w:rPr>
        <w:t xml:space="preserve"> </w:t>
      </w:r>
      <w:r>
        <w:t>research</w:t>
      </w:r>
      <w:r>
        <w:rPr>
          <w:spacing w:val="-13"/>
        </w:rPr>
        <w:t xml:space="preserve"> </w:t>
      </w:r>
      <w:r>
        <w:t>questions:</w:t>
      </w:r>
    </w:p>
    <w:p w:rsidR="00C94252" w:rsidRDefault="00A33443">
      <w:pPr>
        <w:pStyle w:val="Listeavsnitt"/>
        <w:numPr>
          <w:ilvl w:val="2"/>
          <w:numId w:val="6"/>
        </w:numPr>
        <w:tabs>
          <w:tab w:val="left" w:pos="837"/>
        </w:tabs>
        <w:spacing w:before="161"/>
        <w:ind w:right="189"/>
        <w:rPr>
          <w:sz w:val="24"/>
        </w:rPr>
      </w:pPr>
      <w:r>
        <w:rPr>
          <w:sz w:val="24"/>
        </w:rPr>
        <w:t>What are the commonalities and differences in WE acceptance issues in various European</w:t>
      </w:r>
      <w:r>
        <w:rPr>
          <w:spacing w:val="-1"/>
          <w:sz w:val="24"/>
        </w:rPr>
        <w:t xml:space="preserve"> </w:t>
      </w:r>
      <w:r>
        <w:rPr>
          <w:sz w:val="24"/>
        </w:rPr>
        <w:t>regions?</w:t>
      </w:r>
    </w:p>
    <w:p w:rsidR="00C94252" w:rsidRDefault="00A33443">
      <w:pPr>
        <w:pStyle w:val="Listeavsnitt"/>
        <w:numPr>
          <w:ilvl w:val="2"/>
          <w:numId w:val="6"/>
        </w:numPr>
        <w:tabs>
          <w:tab w:val="left" w:pos="837"/>
        </w:tabs>
        <w:spacing w:before="161"/>
        <w:ind w:right="189"/>
        <w:rPr>
          <w:sz w:val="24"/>
        </w:rPr>
      </w:pPr>
      <w:r>
        <w:rPr>
          <w:sz w:val="24"/>
        </w:rPr>
        <w:t>How do strategic and local planning differ across Europe and how important are they a</w:t>
      </w:r>
      <w:r>
        <w:rPr>
          <w:sz w:val="24"/>
        </w:rPr>
        <w:t>s factors explaining WE acceptance</w:t>
      </w:r>
      <w:r>
        <w:rPr>
          <w:spacing w:val="-2"/>
          <w:sz w:val="24"/>
        </w:rPr>
        <w:t xml:space="preserve"> </w:t>
      </w:r>
      <w:r>
        <w:rPr>
          <w:sz w:val="24"/>
        </w:rPr>
        <w:t>issues?</w:t>
      </w:r>
    </w:p>
    <w:p w:rsidR="00C94252" w:rsidRDefault="00A33443">
      <w:pPr>
        <w:pStyle w:val="Brdtekst"/>
        <w:spacing w:before="159"/>
        <w:ind w:left="116" w:right="187"/>
        <w:jc w:val="both"/>
      </w:pPr>
      <w:r>
        <w:t>These questions are interlinked; answering them will contribute to understanding the relationships between various spatial planning contexts in Europe and their links to WE acceptance</w:t>
      </w:r>
      <w:r>
        <w:rPr>
          <w:spacing w:val="-7"/>
        </w:rPr>
        <w:t xml:space="preserve"> </w:t>
      </w:r>
      <w:r>
        <w:t>issues.</w:t>
      </w:r>
      <w:r>
        <w:rPr>
          <w:spacing w:val="-5"/>
        </w:rPr>
        <w:t xml:space="preserve"> </w:t>
      </w:r>
      <w:r>
        <w:t>Our</w:t>
      </w:r>
      <w:r>
        <w:rPr>
          <w:spacing w:val="-7"/>
        </w:rPr>
        <w:t xml:space="preserve"> </w:t>
      </w:r>
      <w:r>
        <w:t>analysis</w:t>
      </w:r>
      <w:r>
        <w:rPr>
          <w:spacing w:val="-3"/>
        </w:rPr>
        <w:t xml:space="preserve"> </w:t>
      </w:r>
      <w:r>
        <w:t>draws</w:t>
      </w:r>
      <w:r>
        <w:rPr>
          <w:spacing w:val="-6"/>
        </w:rPr>
        <w:t xml:space="preserve"> </w:t>
      </w:r>
      <w:r>
        <w:t>on</w:t>
      </w:r>
      <w:r>
        <w:rPr>
          <w:spacing w:val="-5"/>
        </w:rPr>
        <w:t xml:space="preserve"> </w:t>
      </w:r>
      <w:r>
        <w:t>a</w:t>
      </w:r>
      <w:r>
        <w:rPr>
          <w:spacing w:val="-7"/>
        </w:rPr>
        <w:t xml:space="preserve"> </w:t>
      </w:r>
      <w:r>
        <w:t>recent</w:t>
      </w:r>
      <w:r>
        <w:rPr>
          <w:spacing w:val="-4"/>
        </w:rPr>
        <w:t xml:space="preserve"> </w:t>
      </w:r>
      <w:r>
        <w:t>expert</w:t>
      </w:r>
      <w:r>
        <w:rPr>
          <w:spacing w:val="-5"/>
        </w:rPr>
        <w:t xml:space="preserve"> </w:t>
      </w:r>
      <w:r>
        <w:t>survey</w:t>
      </w:r>
      <w:r>
        <w:rPr>
          <w:spacing w:val="-11"/>
        </w:rPr>
        <w:t xml:space="preserve"> </w:t>
      </w:r>
      <w:r>
        <w:t>conducted</w:t>
      </w:r>
      <w:r>
        <w:rPr>
          <w:spacing w:val="-5"/>
        </w:rPr>
        <w:t xml:space="preserve"> </w:t>
      </w:r>
      <w:r>
        <w:t>in</w:t>
      </w:r>
      <w:r>
        <w:rPr>
          <w:spacing w:val="-6"/>
        </w:rPr>
        <w:t xml:space="preserve"> </w:t>
      </w:r>
      <w:r>
        <w:t>the</w:t>
      </w:r>
      <w:r>
        <w:rPr>
          <w:spacing w:val="-5"/>
        </w:rPr>
        <w:t xml:space="preserve"> </w:t>
      </w:r>
      <w:r>
        <w:t>framework</w:t>
      </w:r>
      <w:r>
        <w:rPr>
          <w:spacing w:val="-7"/>
        </w:rPr>
        <w:t xml:space="preserve"> </w:t>
      </w:r>
      <w:r>
        <w:t>of the COST Action TU 1401 ‘Renewable Energy and Landscape</w:t>
      </w:r>
      <w:r>
        <w:rPr>
          <w:spacing w:val="-6"/>
        </w:rPr>
        <w:t xml:space="preserve"> </w:t>
      </w:r>
      <w:r>
        <w:t>Quality’.</w:t>
      </w:r>
    </w:p>
    <w:p w:rsidR="00C94252" w:rsidRDefault="00C94252">
      <w:pPr>
        <w:jc w:val="both"/>
        <w:sectPr w:rsidR="00C94252">
          <w:pgSz w:w="11900" w:h="16850"/>
          <w:pgMar w:top="1200" w:right="1220" w:bottom="940" w:left="1300" w:header="0" w:footer="751" w:gutter="0"/>
          <w:cols w:space="708"/>
        </w:sectPr>
      </w:pPr>
    </w:p>
    <w:p w:rsidR="00C94252" w:rsidRDefault="00A33443">
      <w:pPr>
        <w:pStyle w:val="Brdtekst"/>
        <w:spacing w:before="70"/>
        <w:ind w:left="116" w:right="191"/>
        <w:jc w:val="both"/>
      </w:pPr>
      <w:r>
        <w:lastRenderedPageBreak/>
        <w:t>The paper proceeds as follows. In Section 2, we review existing literature with a focus on how it discusses acceptance and resistance of RE technologies and wind energy in particular. Assuming that different planning contexts in Europe can be distinguished</w:t>
      </w:r>
      <w:r>
        <w:t>, we rely on spatial planning literature for depicting our analytical approach. In Section 3, we outline the methods for capturing and analysing the perspectives of experts. After presenting the survey results (Section 4), we set our findings into the cont</w:t>
      </w:r>
      <w:r>
        <w:t>ext of empirical WE and planning literature and discuss the strengths and weaknesses of our approach (Section 5). We conclude with a set of implications for academia and practice (Section 6).</w:t>
      </w:r>
    </w:p>
    <w:p w:rsidR="00C94252" w:rsidRDefault="00C94252">
      <w:pPr>
        <w:pStyle w:val="Brdtekst"/>
        <w:spacing w:before="5"/>
        <w:rPr>
          <w:sz w:val="21"/>
        </w:rPr>
      </w:pPr>
    </w:p>
    <w:p w:rsidR="00C94252" w:rsidRDefault="00A33443">
      <w:pPr>
        <w:pStyle w:val="Overskrift1"/>
        <w:numPr>
          <w:ilvl w:val="0"/>
          <w:numId w:val="5"/>
        </w:numPr>
        <w:tabs>
          <w:tab w:val="left" w:pos="477"/>
        </w:tabs>
        <w:spacing w:line="630" w:lineRule="atLeast"/>
        <w:ind w:right="6207" w:firstLine="0"/>
      </w:pPr>
      <w:r>
        <w:t>Literature review 2.1.Acceptance and</w:t>
      </w:r>
      <w:r>
        <w:rPr>
          <w:spacing w:val="10"/>
        </w:rPr>
        <w:t xml:space="preserve"> </w:t>
      </w:r>
      <w:r>
        <w:rPr>
          <w:spacing w:val="-3"/>
        </w:rPr>
        <w:t>resistance</w:t>
      </w:r>
    </w:p>
    <w:p w:rsidR="00C94252" w:rsidRDefault="00A33443">
      <w:pPr>
        <w:pStyle w:val="Brdtekst"/>
        <w:spacing w:before="121"/>
        <w:ind w:left="116" w:right="191"/>
        <w:jc w:val="both"/>
      </w:pPr>
      <w:r>
        <w:t>The notion of ‘acceptance’ in the context of WE has been contested for quite some time (Ellis and</w:t>
      </w:r>
      <w:r>
        <w:rPr>
          <w:spacing w:val="-4"/>
        </w:rPr>
        <w:t xml:space="preserve"> </w:t>
      </w:r>
      <w:r>
        <w:t>Ferraro,</w:t>
      </w:r>
      <w:r>
        <w:rPr>
          <w:spacing w:val="-4"/>
        </w:rPr>
        <w:t xml:space="preserve"> </w:t>
      </w:r>
      <w:r>
        <w:t>2016).</w:t>
      </w:r>
      <w:r>
        <w:rPr>
          <w:spacing w:val="-4"/>
        </w:rPr>
        <w:t xml:space="preserve"> </w:t>
      </w:r>
      <w:r>
        <w:t>One</w:t>
      </w:r>
      <w:r>
        <w:rPr>
          <w:spacing w:val="-3"/>
        </w:rPr>
        <w:t xml:space="preserve"> </w:t>
      </w:r>
      <w:r>
        <w:t>of</w:t>
      </w:r>
      <w:r>
        <w:rPr>
          <w:spacing w:val="-4"/>
        </w:rPr>
        <w:t xml:space="preserve"> </w:t>
      </w:r>
      <w:r>
        <w:t>the</w:t>
      </w:r>
      <w:r>
        <w:rPr>
          <w:spacing w:val="-4"/>
        </w:rPr>
        <w:t xml:space="preserve"> </w:t>
      </w:r>
      <w:r>
        <w:t>most</w:t>
      </w:r>
      <w:r>
        <w:rPr>
          <w:spacing w:val="-3"/>
        </w:rPr>
        <w:t xml:space="preserve"> </w:t>
      </w:r>
      <w:r>
        <w:t>well-known</w:t>
      </w:r>
      <w:r>
        <w:rPr>
          <w:spacing w:val="-4"/>
        </w:rPr>
        <w:t xml:space="preserve"> </w:t>
      </w:r>
      <w:r>
        <w:t>conceptual</w:t>
      </w:r>
      <w:r>
        <w:rPr>
          <w:spacing w:val="-3"/>
        </w:rPr>
        <w:t xml:space="preserve"> </w:t>
      </w:r>
      <w:r>
        <w:t>models</w:t>
      </w:r>
      <w:r>
        <w:rPr>
          <w:spacing w:val="-4"/>
        </w:rPr>
        <w:t xml:space="preserve"> </w:t>
      </w:r>
      <w:r>
        <w:t>(Wüstenhagen</w:t>
      </w:r>
      <w:r>
        <w:rPr>
          <w:spacing w:val="-3"/>
        </w:rPr>
        <w:t xml:space="preserve"> </w:t>
      </w:r>
      <w:r>
        <w:t>et</w:t>
      </w:r>
      <w:r>
        <w:rPr>
          <w:spacing w:val="-3"/>
        </w:rPr>
        <w:t xml:space="preserve"> </w:t>
      </w:r>
      <w:r>
        <w:t>al.</w:t>
      </w:r>
      <w:r>
        <w:rPr>
          <w:spacing w:val="-3"/>
        </w:rPr>
        <w:t xml:space="preserve"> </w:t>
      </w:r>
      <w:r>
        <w:t>2007) proposes that social acceptance of RE technologies consists of three br</w:t>
      </w:r>
      <w:r>
        <w:t>oad elements: socio- political</w:t>
      </w:r>
      <w:r>
        <w:rPr>
          <w:spacing w:val="-7"/>
        </w:rPr>
        <w:t xml:space="preserve"> </w:t>
      </w:r>
      <w:r>
        <w:t>acceptance,</w:t>
      </w:r>
      <w:r>
        <w:rPr>
          <w:spacing w:val="-4"/>
        </w:rPr>
        <w:t xml:space="preserve"> </w:t>
      </w:r>
      <w:r>
        <w:t>community</w:t>
      </w:r>
      <w:r>
        <w:rPr>
          <w:spacing w:val="-10"/>
        </w:rPr>
        <w:t xml:space="preserve"> </w:t>
      </w:r>
      <w:r>
        <w:t>acceptance,</w:t>
      </w:r>
      <w:r>
        <w:rPr>
          <w:spacing w:val="-7"/>
        </w:rPr>
        <w:t xml:space="preserve"> </w:t>
      </w:r>
      <w:r>
        <w:t>and</w:t>
      </w:r>
      <w:r>
        <w:rPr>
          <w:spacing w:val="-6"/>
        </w:rPr>
        <w:t xml:space="preserve"> </w:t>
      </w:r>
      <w:r>
        <w:t>market</w:t>
      </w:r>
      <w:r>
        <w:rPr>
          <w:spacing w:val="-6"/>
        </w:rPr>
        <w:t xml:space="preserve"> </w:t>
      </w:r>
      <w:r>
        <w:t>acceptance.</w:t>
      </w:r>
      <w:r>
        <w:rPr>
          <w:spacing w:val="-7"/>
        </w:rPr>
        <w:t xml:space="preserve"> </w:t>
      </w:r>
      <w:r>
        <w:t>On</w:t>
      </w:r>
      <w:r>
        <w:rPr>
          <w:spacing w:val="-5"/>
        </w:rPr>
        <w:t xml:space="preserve"> </w:t>
      </w:r>
      <w:r>
        <w:t>a</w:t>
      </w:r>
      <w:r>
        <w:rPr>
          <w:spacing w:val="-6"/>
        </w:rPr>
        <w:t xml:space="preserve"> </w:t>
      </w:r>
      <w:r>
        <w:t>‘micro-social’</w:t>
      </w:r>
      <w:r>
        <w:rPr>
          <w:spacing w:val="-8"/>
        </w:rPr>
        <w:t xml:space="preserve"> </w:t>
      </w:r>
      <w:r>
        <w:t xml:space="preserve">level, acceptance has been defined, for example, as a favourable response related to the proposed or </w:t>
      </w:r>
      <w:r>
        <w:rPr>
          <w:i/>
        </w:rPr>
        <w:t>in</w:t>
      </w:r>
      <w:r>
        <w:rPr>
          <w:i/>
          <w:spacing w:val="-6"/>
        </w:rPr>
        <w:t xml:space="preserve"> </w:t>
      </w:r>
      <w:r>
        <w:rPr>
          <w:i/>
        </w:rPr>
        <w:t>situ</w:t>
      </w:r>
      <w:r>
        <w:rPr>
          <w:i/>
          <w:spacing w:val="-6"/>
        </w:rPr>
        <w:t xml:space="preserve"> </w:t>
      </w:r>
      <w:r>
        <w:t>technology</w:t>
      </w:r>
      <w:r>
        <w:rPr>
          <w:spacing w:val="-11"/>
        </w:rPr>
        <w:t xml:space="preserve"> </w:t>
      </w:r>
      <w:r>
        <w:t>by</w:t>
      </w:r>
      <w:r>
        <w:rPr>
          <w:spacing w:val="-11"/>
        </w:rPr>
        <w:t xml:space="preserve"> </w:t>
      </w:r>
      <w:r>
        <w:t>members</w:t>
      </w:r>
      <w:r>
        <w:rPr>
          <w:spacing w:val="-5"/>
        </w:rPr>
        <w:t xml:space="preserve"> </w:t>
      </w:r>
      <w:r>
        <w:t>of</w:t>
      </w:r>
      <w:r>
        <w:rPr>
          <w:spacing w:val="-7"/>
        </w:rPr>
        <w:t xml:space="preserve"> </w:t>
      </w:r>
      <w:r>
        <w:t>a</w:t>
      </w:r>
      <w:r>
        <w:rPr>
          <w:spacing w:val="-5"/>
        </w:rPr>
        <w:t xml:space="preserve"> </w:t>
      </w:r>
      <w:r>
        <w:t>given</w:t>
      </w:r>
      <w:r>
        <w:rPr>
          <w:spacing w:val="-6"/>
        </w:rPr>
        <w:t xml:space="preserve"> </w:t>
      </w:r>
      <w:r>
        <w:t>social</w:t>
      </w:r>
      <w:r>
        <w:rPr>
          <w:spacing w:val="-6"/>
        </w:rPr>
        <w:t xml:space="preserve"> </w:t>
      </w:r>
      <w:r>
        <w:t>unit</w:t>
      </w:r>
      <w:r>
        <w:rPr>
          <w:spacing w:val="-5"/>
        </w:rPr>
        <w:t xml:space="preserve"> </w:t>
      </w:r>
      <w:r>
        <w:t>(Upham</w:t>
      </w:r>
      <w:r>
        <w:rPr>
          <w:spacing w:val="-6"/>
        </w:rPr>
        <w:t xml:space="preserve"> </w:t>
      </w:r>
      <w:r>
        <w:t>et</w:t>
      </w:r>
      <w:r>
        <w:rPr>
          <w:spacing w:val="-5"/>
        </w:rPr>
        <w:t xml:space="preserve"> </w:t>
      </w:r>
      <w:r>
        <w:t>al.,</w:t>
      </w:r>
      <w:r>
        <w:rPr>
          <w:spacing w:val="-6"/>
        </w:rPr>
        <w:t xml:space="preserve"> </w:t>
      </w:r>
      <w:r>
        <w:t>2015:103).</w:t>
      </w:r>
      <w:r>
        <w:rPr>
          <w:spacing w:val="-6"/>
        </w:rPr>
        <w:t xml:space="preserve"> </w:t>
      </w:r>
      <w:r>
        <w:t>Acceptance</w:t>
      </w:r>
      <w:r>
        <w:rPr>
          <w:spacing w:val="-4"/>
        </w:rPr>
        <w:t xml:space="preserve"> </w:t>
      </w:r>
      <w:r>
        <w:t>can be depicted as a continuum, where different levels of support can be distinguished, e.g., an attitude or action level (Langer et al., 2016). However, in RE acceptance research, often the inverse</w:t>
      </w:r>
      <w:r>
        <w:rPr>
          <w:spacing w:val="-7"/>
        </w:rPr>
        <w:t xml:space="preserve"> </w:t>
      </w:r>
      <w:r>
        <w:t>–</w:t>
      </w:r>
      <w:r>
        <w:rPr>
          <w:spacing w:val="-4"/>
        </w:rPr>
        <w:t xml:space="preserve"> </w:t>
      </w:r>
      <w:r>
        <w:t>resistance</w:t>
      </w:r>
      <w:r>
        <w:rPr>
          <w:spacing w:val="-7"/>
        </w:rPr>
        <w:t xml:space="preserve"> </w:t>
      </w:r>
      <w:r>
        <w:t>–</w:t>
      </w:r>
      <w:r>
        <w:rPr>
          <w:spacing w:val="-3"/>
        </w:rPr>
        <w:t xml:space="preserve"> </w:t>
      </w:r>
      <w:r>
        <w:t>is</w:t>
      </w:r>
      <w:r>
        <w:rPr>
          <w:spacing w:val="-6"/>
        </w:rPr>
        <w:t xml:space="preserve"> </w:t>
      </w:r>
      <w:r>
        <w:t>studied</w:t>
      </w:r>
      <w:r>
        <w:rPr>
          <w:spacing w:val="-5"/>
        </w:rPr>
        <w:t xml:space="preserve"> </w:t>
      </w:r>
      <w:r>
        <w:t>(Fournis</w:t>
      </w:r>
      <w:r>
        <w:rPr>
          <w:spacing w:val="-5"/>
        </w:rPr>
        <w:t xml:space="preserve"> </w:t>
      </w:r>
      <w:r>
        <w:t>and</w:t>
      </w:r>
      <w:r>
        <w:rPr>
          <w:spacing w:val="-4"/>
        </w:rPr>
        <w:t xml:space="preserve"> </w:t>
      </w:r>
      <w:r>
        <w:t>Fortin,</w:t>
      </w:r>
      <w:r>
        <w:rPr>
          <w:spacing w:val="-5"/>
        </w:rPr>
        <w:t xml:space="preserve"> </w:t>
      </w:r>
      <w:r>
        <w:t>2017:2).</w:t>
      </w:r>
      <w:r>
        <w:rPr>
          <w:spacing w:val="-3"/>
        </w:rPr>
        <w:t xml:space="preserve"> </w:t>
      </w:r>
      <w:r>
        <w:t>In</w:t>
      </w:r>
      <w:r>
        <w:rPr>
          <w:spacing w:val="-4"/>
        </w:rPr>
        <w:t xml:space="preserve"> </w:t>
      </w:r>
      <w:r>
        <w:t>this</w:t>
      </w:r>
      <w:r>
        <w:rPr>
          <w:spacing w:val="-6"/>
        </w:rPr>
        <w:t xml:space="preserve"> </w:t>
      </w:r>
      <w:r>
        <w:t>study,</w:t>
      </w:r>
      <w:r>
        <w:rPr>
          <w:spacing w:val="-1"/>
        </w:rPr>
        <w:t xml:space="preserve"> </w:t>
      </w:r>
      <w:r>
        <w:t>we</w:t>
      </w:r>
      <w:r>
        <w:rPr>
          <w:spacing w:val="-6"/>
        </w:rPr>
        <w:t xml:space="preserve"> </w:t>
      </w:r>
      <w:r>
        <w:t>focus</w:t>
      </w:r>
      <w:r>
        <w:rPr>
          <w:spacing w:val="-5"/>
        </w:rPr>
        <w:t xml:space="preserve"> </w:t>
      </w:r>
      <w:r>
        <w:t>mostly</w:t>
      </w:r>
      <w:r>
        <w:rPr>
          <w:spacing w:val="-8"/>
        </w:rPr>
        <w:t xml:space="preserve"> </w:t>
      </w:r>
      <w:r>
        <w:t>on the latter, socio-political resistance, by discussing possible reasons why acceptance of WE is problematic in different regional contexts in Europe.</w:t>
      </w:r>
    </w:p>
    <w:p w:rsidR="00C94252" w:rsidRDefault="00C94252">
      <w:pPr>
        <w:pStyle w:val="Brdtekst"/>
        <w:spacing w:before="7"/>
        <w:rPr>
          <w:sz w:val="31"/>
        </w:rPr>
      </w:pPr>
    </w:p>
    <w:p w:rsidR="00C94252" w:rsidRDefault="00A33443">
      <w:pPr>
        <w:pStyle w:val="Overskrift1"/>
        <w:numPr>
          <w:ilvl w:val="1"/>
          <w:numId w:val="5"/>
        </w:numPr>
        <w:tabs>
          <w:tab w:val="left" w:pos="478"/>
        </w:tabs>
        <w:jc w:val="both"/>
      </w:pPr>
      <w:r>
        <w:t>Regional differences and simil</w:t>
      </w:r>
      <w:r>
        <w:t>arities in WE acceptance: lessons from case</w:t>
      </w:r>
      <w:r>
        <w:rPr>
          <w:spacing w:val="-6"/>
        </w:rPr>
        <w:t xml:space="preserve"> </w:t>
      </w:r>
      <w:r>
        <w:t>studies</w:t>
      </w:r>
    </w:p>
    <w:p w:rsidR="00C94252" w:rsidRDefault="00A33443">
      <w:pPr>
        <w:pStyle w:val="Brdtekst"/>
        <w:spacing w:before="118"/>
        <w:ind w:left="116" w:right="190"/>
        <w:jc w:val="both"/>
      </w:pPr>
      <w:r>
        <w:t>As society-technology relationships of RE tend to be highly context-dependent, case studies are an important source of knowledge. During past decades, numerous case studies have been conducted on WE accep</w:t>
      </w:r>
      <w:r>
        <w:t>tance and planning in different countries across Europe. Existing research on WE acceptance tends to concentrate on West- and North-European countries,</w:t>
      </w:r>
      <w:r>
        <w:rPr>
          <w:spacing w:val="-32"/>
        </w:rPr>
        <w:t xml:space="preserve"> </w:t>
      </w:r>
      <w:r>
        <w:t>such as Austria (Höltinger et al., 2016), Switzerland (Walter, 2014), Germany (Jobert et al., 2007; Lang</w:t>
      </w:r>
      <w:r>
        <w:t>er et al., 2016; Leibenath and Lintz, 2017; Leibenath et al., 2016), and the UK (Walker et al.,</w:t>
      </w:r>
      <w:r>
        <w:rPr>
          <w:spacing w:val="-4"/>
        </w:rPr>
        <w:t xml:space="preserve"> </w:t>
      </w:r>
      <w:r>
        <w:t>2014;</w:t>
      </w:r>
      <w:r>
        <w:rPr>
          <w:spacing w:val="-3"/>
        </w:rPr>
        <w:t xml:space="preserve"> </w:t>
      </w:r>
      <w:r>
        <w:t>Simcock,</w:t>
      </w:r>
      <w:r>
        <w:rPr>
          <w:spacing w:val="-4"/>
        </w:rPr>
        <w:t xml:space="preserve"> </w:t>
      </w:r>
      <w:r>
        <w:t>2016).</w:t>
      </w:r>
      <w:r>
        <w:rPr>
          <w:spacing w:val="-3"/>
        </w:rPr>
        <w:t xml:space="preserve"> </w:t>
      </w:r>
      <w:r>
        <w:t>Far</w:t>
      </w:r>
      <w:r>
        <w:rPr>
          <w:spacing w:val="-3"/>
        </w:rPr>
        <w:t xml:space="preserve"> </w:t>
      </w:r>
      <w:r>
        <w:t>fewer</w:t>
      </w:r>
      <w:r>
        <w:rPr>
          <w:spacing w:val="-4"/>
        </w:rPr>
        <w:t xml:space="preserve"> </w:t>
      </w:r>
      <w:r>
        <w:t>studies</w:t>
      </w:r>
      <w:r>
        <w:rPr>
          <w:spacing w:val="-3"/>
        </w:rPr>
        <w:t xml:space="preserve"> </w:t>
      </w:r>
      <w:r>
        <w:t>about</w:t>
      </w:r>
      <w:r>
        <w:rPr>
          <w:spacing w:val="-2"/>
        </w:rPr>
        <w:t xml:space="preserve"> </w:t>
      </w:r>
      <w:r>
        <w:t>WE</w:t>
      </w:r>
      <w:r>
        <w:rPr>
          <w:spacing w:val="-4"/>
        </w:rPr>
        <w:t xml:space="preserve"> </w:t>
      </w:r>
      <w:r>
        <w:t>acceptance</w:t>
      </w:r>
      <w:r>
        <w:rPr>
          <w:spacing w:val="-5"/>
        </w:rPr>
        <w:t xml:space="preserve"> </w:t>
      </w:r>
      <w:r>
        <w:t>exist</w:t>
      </w:r>
      <w:r>
        <w:rPr>
          <w:spacing w:val="-2"/>
        </w:rPr>
        <w:t xml:space="preserve"> </w:t>
      </w:r>
      <w:r>
        <w:t>in</w:t>
      </w:r>
      <w:r>
        <w:rPr>
          <w:spacing w:val="-6"/>
        </w:rPr>
        <w:t xml:space="preserve"> </w:t>
      </w:r>
      <w:r>
        <w:t>Central</w:t>
      </w:r>
      <w:r>
        <w:rPr>
          <w:spacing w:val="-3"/>
        </w:rPr>
        <w:t xml:space="preserve"> </w:t>
      </w:r>
      <w:r>
        <w:t>and</w:t>
      </w:r>
      <w:r>
        <w:rPr>
          <w:spacing w:val="-4"/>
        </w:rPr>
        <w:t xml:space="preserve"> </w:t>
      </w:r>
      <w:r>
        <w:t>Eastern European (CEE) countries, e.g., Poland (Michalak and Zimny, 2011) or Cz</w:t>
      </w:r>
      <w:r>
        <w:t>ech Republic (Frantál and Kucera, 2009), and South-Europe, like Greece (Kaldellis, 2005; Kontogianni et al., 2014; Oikonomou et al., 2009), or Portugal (Delicado et al., 2014; Silva and Delicado, 2017). Case comparisons mostly focus on countries from simil</w:t>
      </w:r>
      <w:r>
        <w:t xml:space="preserve">ar socio-political contexts, e.g., England, Wales and Denmark (McLaren Loring, 2007) or Finland, Sweden and Norway (Liljenfeldt, 2015). However, research is scarce on comparing and contrasting acceptance in different socio-political contexts (e.g., Poland </w:t>
      </w:r>
      <w:r>
        <w:t>and Germany (Liebe et al.,</w:t>
      </w:r>
      <w:r>
        <w:rPr>
          <w:spacing w:val="-6"/>
        </w:rPr>
        <w:t xml:space="preserve"> </w:t>
      </w:r>
      <w:r>
        <w:t>2017)).</w:t>
      </w:r>
    </w:p>
    <w:p w:rsidR="00C94252" w:rsidRDefault="00A33443">
      <w:pPr>
        <w:pStyle w:val="Brdtekst"/>
        <w:spacing w:before="159"/>
        <w:ind w:left="116" w:right="190"/>
        <w:jc w:val="both"/>
      </w:pPr>
      <w:r>
        <w:t xml:space="preserve">The available comparative studies have pointed out some general lessons. </w:t>
      </w:r>
      <w:r>
        <w:rPr>
          <w:spacing w:val="-3"/>
        </w:rPr>
        <w:t xml:space="preserve">In </w:t>
      </w:r>
      <w:r>
        <w:t>places where biophysical conditions strongly support WE development (e.g. Scotland), people may have a higher acceptance of wind parks if they fe</w:t>
      </w:r>
      <w:r>
        <w:t>el ownership towards the project (Enevoldsen and Sovacool,</w:t>
      </w:r>
      <w:r>
        <w:rPr>
          <w:spacing w:val="-8"/>
        </w:rPr>
        <w:t xml:space="preserve"> </w:t>
      </w:r>
      <w:r>
        <w:t>2016).</w:t>
      </w:r>
      <w:r>
        <w:rPr>
          <w:spacing w:val="-9"/>
        </w:rPr>
        <w:t xml:space="preserve"> </w:t>
      </w:r>
      <w:r>
        <w:t>WE</w:t>
      </w:r>
      <w:r>
        <w:rPr>
          <w:spacing w:val="-8"/>
        </w:rPr>
        <w:t xml:space="preserve"> </w:t>
      </w:r>
      <w:r>
        <w:t>development</w:t>
      </w:r>
      <w:r>
        <w:rPr>
          <w:spacing w:val="-7"/>
        </w:rPr>
        <w:t xml:space="preserve"> </w:t>
      </w:r>
      <w:r>
        <w:t>is</w:t>
      </w:r>
      <w:r>
        <w:rPr>
          <w:spacing w:val="-8"/>
        </w:rPr>
        <w:t xml:space="preserve"> </w:t>
      </w:r>
      <w:r>
        <w:t>indeed</w:t>
      </w:r>
      <w:r>
        <w:rPr>
          <w:spacing w:val="-8"/>
        </w:rPr>
        <w:t xml:space="preserve"> </w:t>
      </w:r>
      <w:r>
        <w:t>different</w:t>
      </w:r>
      <w:r>
        <w:rPr>
          <w:spacing w:val="-7"/>
        </w:rPr>
        <w:t xml:space="preserve"> </w:t>
      </w:r>
      <w:r>
        <w:t>across</w:t>
      </w:r>
      <w:r>
        <w:rPr>
          <w:spacing w:val="-9"/>
        </w:rPr>
        <w:t xml:space="preserve"> </w:t>
      </w:r>
      <w:r>
        <w:t>various</w:t>
      </w:r>
      <w:r>
        <w:rPr>
          <w:spacing w:val="-8"/>
        </w:rPr>
        <w:t xml:space="preserve"> </w:t>
      </w:r>
      <w:r>
        <w:t>socio-political</w:t>
      </w:r>
      <w:r>
        <w:rPr>
          <w:spacing w:val="-7"/>
        </w:rPr>
        <w:t xml:space="preserve"> </w:t>
      </w:r>
      <w:r>
        <w:t>contexts</w:t>
      </w:r>
      <w:r>
        <w:rPr>
          <w:spacing w:val="-7"/>
        </w:rPr>
        <w:t xml:space="preserve"> </w:t>
      </w:r>
      <w:r>
        <w:t>in Europe,</w:t>
      </w:r>
      <w:r>
        <w:rPr>
          <w:spacing w:val="-14"/>
        </w:rPr>
        <w:t xml:space="preserve"> </w:t>
      </w:r>
      <w:r>
        <w:t>which</w:t>
      </w:r>
      <w:r>
        <w:rPr>
          <w:spacing w:val="-13"/>
        </w:rPr>
        <w:t xml:space="preserve"> </w:t>
      </w:r>
      <w:r>
        <w:t>in</w:t>
      </w:r>
      <w:r>
        <w:rPr>
          <w:spacing w:val="-13"/>
        </w:rPr>
        <w:t xml:space="preserve"> </w:t>
      </w:r>
      <w:r>
        <w:t>turn</w:t>
      </w:r>
      <w:r>
        <w:rPr>
          <w:spacing w:val="-14"/>
        </w:rPr>
        <w:t xml:space="preserve"> </w:t>
      </w:r>
      <w:r>
        <w:t>affects</w:t>
      </w:r>
      <w:r>
        <w:rPr>
          <w:spacing w:val="-12"/>
        </w:rPr>
        <w:t xml:space="preserve"> </w:t>
      </w:r>
      <w:r>
        <w:t>acceptance</w:t>
      </w:r>
      <w:r>
        <w:rPr>
          <w:spacing w:val="-14"/>
        </w:rPr>
        <w:t xml:space="preserve"> </w:t>
      </w:r>
      <w:r>
        <w:t>factors,</w:t>
      </w:r>
      <w:r>
        <w:rPr>
          <w:spacing w:val="-13"/>
        </w:rPr>
        <w:t xml:space="preserve"> </w:t>
      </w:r>
      <w:r>
        <w:t>e.g.,</w:t>
      </w:r>
      <w:r>
        <w:rPr>
          <w:spacing w:val="-13"/>
        </w:rPr>
        <w:t xml:space="preserve"> </w:t>
      </w:r>
      <w:r>
        <w:t>financial</w:t>
      </w:r>
      <w:r>
        <w:rPr>
          <w:spacing w:val="-13"/>
        </w:rPr>
        <w:t xml:space="preserve"> </w:t>
      </w:r>
      <w:r>
        <w:t>participation</w:t>
      </w:r>
      <w:r>
        <w:rPr>
          <w:spacing w:val="-13"/>
        </w:rPr>
        <w:t xml:space="preserve"> </w:t>
      </w:r>
      <w:r>
        <w:t>is</w:t>
      </w:r>
      <w:r>
        <w:rPr>
          <w:spacing w:val="-13"/>
        </w:rPr>
        <w:t xml:space="preserve"> </w:t>
      </w:r>
      <w:r>
        <w:t>found</w:t>
      </w:r>
      <w:r>
        <w:rPr>
          <w:spacing w:val="-14"/>
        </w:rPr>
        <w:t xml:space="preserve"> </w:t>
      </w:r>
      <w:r>
        <w:t>to</w:t>
      </w:r>
      <w:r>
        <w:rPr>
          <w:spacing w:val="-13"/>
        </w:rPr>
        <w:t xml:space="preserve"> </w:t>
      </w:r>
      <w:r>
        <w:t>be</w:t>
      </w:r>
      <w:r>
        <w:rPr>
          <w:spacing w:val="-14"/>
        </w:rPr>
        <w:t xml:space="preserve"> </w:t>
      </w:r>
      <w:r>
        <w:t>more important</w:t>
      </w:r>
      <w:r>
        <w:rPr>
          <w:spacing w:val="-8"/>
        </w:rPr>
        <w:t xml:space="preserve"> </w:t>
      </w:r>
      <w:r>
        <w:t>in</w:t>
      </w:r>
      <w:r>
        <w:rPr>
          <w:spacing w:val="-9"/>
        </w:rPr>
        <w:t xml:space="preserve"> </w:t>
      </w:r>
      <w:r>
        <w:t>influencing</w:t>
      </w:r>
      <w:r>
        <w:rPr>
          <w:spacing w:val="-8"/>
        </w:rPr>
        <w:t xml:space="preserve"> </w:t>
      </w:r>
      <w:r>
        <w:t>acceptance</w:t>
      </w:r>
      <w:r>
        <w:rPr>
          <w:spacing w:val="-8"/>
        </w:rPr>
        <w:t xml:space="preserve"> </w:t>
      </w:r>
      <w:r>
        <w:t>in</w:t>
      </w:r>
      <w:r>
        <w:rPr>
          <w:spacing w:val="-9"/>
        </w:rPr>
        <w:t xml:space="preserve"> </w:t>
      </w:r>
      <w:r>
        <w:t>Germany</w:t>
      </w:r>
      <w:r>
        <w:rPr>
          <w:spacing w:val="-12"/>
        </w:rPr>
        <w:t xml:space="preserve"> </w:t>
      </w:r>
      <w:r>
        <w:t>than</w:t>
      </w:r>
      <w:r>
        <w:rPr>
          <w:spacing w:val="-8"/>
        </w:rPr>
        <w:t xml:space="preserve"> </w:t>
      </w:r>
      <w:r>
        <w:t>in</w:t>
      </w:r>
      <w:r>
        <w:rPr>
          <w:spacing w:val="-9"/>
        </w:rPr>
        <w:t xml:space="preserve"> </w:t>
      </w:r>
      <w:r>
        <w:t>France</w:t>
      </w:r>
      <w:r>
        <w:rPr>
          <w:spacing w:val="-9"/>
        </w:rPr>
        <w:t xml:space="preserve"> </w:t>
      </w:r>
      <w:r>
        <w:t>(ibid.).</w:t>
      </w:r>
      <w:r>
        <w:rPr>
          <w:spacing w:val="-9"/>
        </w:rPr>
        <w:t xml:space="preserve"> </w:t>
      </w:r>
      <w:r>
        <w:t>General</w:t>
      </w:r>
      <w:r>
        <w:rPr>
          <w:spacing w:val="-7"/>
        </w:rPr>
        <w:t xml:space="preserve"> </w:t>
      </w:r>
      <w:r>
        <w:t>WE</w:t>
      </w:r>
      <w:r>
        <w:rPr>
          <w:spacing w:val="-8"/>
        </w:rPr>
        <w:t xml:space="preserve"> </w:t>
      </w:r>
      <w:r>
        <w:t>acceptance levels are higher in Poland than in Germany, but procedural justice in both countries is more important than distributive justice (Liebe et al., 2017). Although information an</w:t>
      </w:r>
      <w:r>
        <w:t>d participation are important in general, broad public participation seems to be considered as less important</w:t>
      </w:r>
      <w:r>
        <w:rPr>
          <w:spacing w:val="-33"/>
        </w:rPr>
        <w:t xml:space="preserve"> </w:t>
      </w:r>
      <w:r>
        <w:t>at the local level in France than in Germany (Jobert et al.,</w:t>
      </w:r>
      <w:r>
        <w:rPr>
          <w:spacing w:val="-7"/>
        </w:rPr>
        <w:t xml:space="preserve"> </w:t>
      </w:r>
      <w:r>
        <w:t>2007).</w:t>
      </w:r>
    </w:p>
    <w:p w:rsidR="00C94252" w:rsidRDefault="00C94252">
      <w:pPr>
        <w:jc w:val="both"/>
        <w:sectPr w:rsidR="00C94252">
          <w:pgSz w:w="11900" w:h="16850"/>
          <w:pgMar w:top="1200" w:right="1220" w:bottom="940" w:left="1300" w:header="0" w:footer="751" w:gutter="0"/>
          <w:cols w:space="708"/>
        </w:sectPr>
      </w:pPr>
    </w:p>
    <w:p w:rsidR="00C94252" w:rsidRDefault="00A33443">
      <w:pPr>
        <w:pStyle w:val="Overskrift1"/>
        <w:numPr>
          <w:ilvl w:val="1"/>
          <w:numId w:val="5"/>
        </w:numPr>
        <w:tabs>
          <w:tab w:val="left" w:pos="478"/>
        </w:tabs>
        <w:spacing w:before="72"/>
      </w:pPr>
      <w:r>
        <w:t>Analytical approach: regional perspectives on spatial planni</w:t>
      </w:r>
      <w:r>
        <w:t>ng and</w:t>
      </w:r>
      <w:r>
        <w:rPr>
          <w:spacing w:val="-1"/>
        </w:rPr>
        <w:t xml:space="preserve"> </w:t>
      </w:r>
      <w:r>
        <w:t>WE</w:t>
      </w:r>
    </w:p>
    <w:p w:rsidR="00C94252" w:rsidRDefault="00A33443">
      <w:pPr>
        <w:pStyle w:val="Brdtekst"/>
        <w:spacing w:before="118"/>
        <w:ind w:left="116" w:right="192"/>
        <w:jc w:val="both"/>
      </w:pPr>
      <w:r>
        <w:t>Spatial planning at different governance levels can play a significant role in shaping WE acceptance. Strategic planning includes different approaches and measures, e.g., a strategic environmental assessment (SEA) procedure, where public and stak</w:t>
      </w:r>
      <w:r>
        <w:t>eholder participation are compulsory elements in democratizing the planning processes (Bonifazi et al., 2011; Phylip- Jones and Fischer, 2015). Strategic planning has the potential to direct developers, reduce uncertainty,</w:t>
      </w:r>
      <w:r>
        <w:rPr>
          <w:spacing w:val="-6"/>
        </w:rPr>
        <w:t xml:space="preserve"> </w:t>
      </w:r>
      <w:r>
        <w:t>and</w:t>
      </w:r>
      <w:r>
        <w:rPr>
          <w:spacing w:val="-5"/>
        </w:rPr>
        <w:t xml:space="preserve"> </w:t>
      </w:r>
      <w:r>
        <w:t>allow</w:t>
      </w:r>
      <w:r>
        <w:rPr>
          <w:spacing w:val="-9"/>
        </w:rPr>
        <w:t xml:space="preserve"> </w:t>
      </w:r>
      <w:r>
        <w:t>for</w:t>
      </w:r>
      <w:r>
        <w:rPr>
          <w:spacing w:val="-8"/>
        </w:rPr>
        <w:t xml:space="preserve"> </w:t>
      </w:r>
      <w:r>
        <w:t>the</w:t>
      </w:r>
      <w:r>
        <w:rPr>
          <w:spacing w:val="-8"/>
        </w:rPr>
        <w:t xml:space="preserve"> </w:t>
      </w:r>
      <w:r>
        <w:t>identification</w:t>
      </w:r>
      <w:r>
        <w:rPr>
          <w:spacing w:val="-8"/>
        </w:rPr>
        <w:t xml:space="preserve"> </w:t>
      </w:r>
      <w:r>
        <w:t>of</w:t>
      </w:r>
      <w:r>
        <w:rPr>
          <w:spacing w:val="-6"/>
        </w:rPr>
        <w:t xml:space="preserve"> </w:t>
      </w:r>
      <w:r>
        <w:t>adverse</w:t>
      </w:r>
      <w:r>
        <w:rPr>
          <w:spacing w:val="-9"/>
        </w:rPr>
        <w:t xml:space="preserve"> </w:t>
      </w:r>
      <w:r>
        <w:t>impacts</w:t>
      </w:r>
      <w:r>
        <w:rPr>
          <w:spacing w:val="-7"/>
        </w:rPr>
        <w:t xml:space="preserve"> </w:t>
      </w:r>
      <w:r>
        <w:t>at</w:t>
      </w:r>
      <w:r>
        <w:rPr>
          <w:spacing w:val="-5"/>
        </w:rPr>
        <w:t xml:space="preserve"> </w:t>
      </w:r>
      <w:r>
        <w:t>an</w:t>
      </w:r>
      <w:r>
        <w:rPr>
          <w:spacing w:val="-5"/>
        </w:rPr>
        <w:t xml:space="preserve"> </w:t>
      </w:r>
      <w:r>
        <w:t>early</w:t>
      </w:r>
      <w:r>
        <w:rPr>
          <w:spacing w:val="-11"/>
        </w:rPr>
        <w:t xml:space="preserve"> </w:t>
      </w:r>
      <w:r>
        <w:t>stage</w:t>
      </w:r>
      <w:r>
        <w:rPr>
          <w:spacing w:val="-8"/>
        </w:rPr>
        <w:t xml:space="preserve"> </w:t>
      </w:r>
      <w:r>
        <w:t>of</w:t>
      </w:r>
      <w:r>
        <w:rPr>
          <w:spacing w:val="-8"/>
        </w:rPr>
        <w:t xml:space="preserve"> </w:t>
      </w:r>
      <w:r>
        <w:t>WE</w:t>
      </w:r>
      <w:r>
        <w:rPr>
          <w:spacing w:val="-9"/>
        </w:rPr>
        <w:t xml:space="preserve"> </w:t>
      </w:r>
      <w:r>
        <w:t>projects (Simão et al., 2009). For example, existing research shows that a lack of strategic spatial planning in Belgium has led to a ‘wind rush’ to available land and competition between developers</w:t>
      </w:r>
      <w:r>
        <w:rPr>
          <w:spacing w:val="-7"/>
        </w:rPr>
        <w:t xml:space="preserve"> </w:t>
      </w:r>
      <w:r>
        <w:t>(Pepermans</w:t>
      </w:r>
      <w:r>
        <w:rPr>
          <w:spacing w:val="-9"/>
        </w:rPr>
        <w:t xml:space="preserve"> </w:t>
      </w:r>
      <w:r>
        <w:t>and</w:t>
      </w:r>
      <w:r>
        <w:rPr>
          <w:spacing w:val="-5"/>
        </w:rPr>
        <w:t xml:space="preserve"> </w:t>
      </w:r>
      <w:r>
        <w:t>Loots,</w:t>
      </w:r>
      <w:r>
        <w:rPr>
          <w:spacing w:val="-9"/>
        </w:rPr>
        <w:t xml:space="preserve"> </w:t>
      </w:r>
      <w:r>
        <w:t>2013).</w:t>
      </w:r>
      <w:r>
        <w:rPr>
          <w:spacing w:val="-8"/>
        </w:rPr>
        <w:t xml:space="preserve"> </w:t>
      </w:r>
      <w:r>
        <w:t>Local</w:t>
      </w:r>
      <w:r>
        <w:rPr>
          <w:spacing w:val="-8"/>
        </w:rPr>
        <w:t xml:space="preserve"> </w:t>
      </w:r>
      <w:r>
        <w:t>planning</w:t>
      </w:r>
      <w:r>
        <w:rPr>
          <w:spacing w:val="-8"/>
        </w:rPr>
        <w:t xml:space="preserve"> </w:t>
      </w:r>
      <w:r>
        <w:t>can</w:t>
      </w:r>
      <w:r>
        <w:rPr>
          <w:spacing w:val="-7"/>
        </w:rPr>
        <w:t xml:space="preserve"> </w:t>
      </w:r>
      <w:r>
        <w:t>affect</w:t>
      </w:r>
      <w:r>
        <w:rPr>
          <w:spacing w:val="-5"/>
        </w:rPr>
        <w:t xml:space="preserve"> </w:t>
      </w:r>
      <w:r>
        <w:t>acceptance</w:t>
      </w:r>
      <w:r>
        <w:rPr>
          <w:spacing w:val="-10"/>
        </w:rPr>
        <w:t xml:space="preserve"> </w:t>
      </w:r>
      <w:r>
        <w:t>as</w:t>
      </w:r>
      <w:r>
        <w:rPr>
          <w:spacing w:val="-6"/>
        </w:rPr>
        <w:t xml:space="preserve"> </w:t>
      </w:r>
      <w:r>
        <w:t>well</w:t>
      </w:r>
      <w:r>
        <w:rPr>
          <w:spacing w:val="-8"/>
        </w:rPr>
        <w:t xml:space="preserve"> </w:t>
      </w:r>
      <w:r>
        <w:t>through the allocation of benefits and costs, as well as the implementation of participatory</w:t>
      </w:r>
      <w:r>
        <w:rPr>
          <w:spacing w:val="-16"/>
        </w:rPr>
        <w:t xml:space="preserve"> </w:t>
      </w:r>
      <w:r>
        <w:t>procedures.</w:t>
      </w:r>
    </w:p>
    <w:p w:rsidR="00C94252" w:rsidRDefault="00A33443">
      <w:pPr>
        <w:pStyle w:val="Brdtekst"/>
        <w:spacing w:before="159"/>
        <w:ind w:left="116" w:right="190"/>
        <w:jc w:val="both"/>
      </w:pPr>
      <w:r>
        <w:t xml:space="preserve">To explore regional differences in WE acceptance, we differentiate between </w:t>
      </w:r>
      <w:r>
        <w:rPr>
          <w:i/>
        </w:rPr>
        <w:t>four supra- nati</w:t>
      </w:r>
      <w:r>
        <w:rPr>
          <w:i/>
        </w:rPr>
        <w:t>onal</w:t>
      </w:r>
      <w:r>
        <w:rPr>
          <w:i/>
          <w:spacing w:val="-7"/>
        </w:rPr>
        <w:t xml:space="preserve"> </w:t>
      </w:r>
      <w:r>
        <w:rPr>
          <w:i/>
        </w:rPr>
        <w:t>large</w:t>
      </w:r>
      <w:r>
        <w:rPr>
          <w:i/>
          <w:spacing w:val="-8"/>
        </w:rPr>
        <w:t xml:space="preserve"> </w:t>
      </w:r>
      <w:r>
        <w:rPr>
          <w:i/>
        </w:rPr>
        <w:t>regions</w:t>
      </w:r>
      <w:r>
        <w:rPr>
          <w:i/>
          <w:spacing w:val="-5"/>
        </w:rPr>
        <w:t xml:space="preserve"> </w:t>
      </w:r>
      <w:r>
        <w:t>and</w:t>
      </w:r>
      <w:r>
        <w:rPr>
          <w:spacing w:val="-7"/>
        </w:rPr>
        <w:t xml:space="preserve"> </w:t>
      </w:r>
      <w:r>
        <w:rPr>
          <w:i/>
        </w:rPr>
        <w:t>eight</w:t>
      </w:r>
      <w:r>
        <w:rPr>
          <w:i/>
          <w:spacing w:val="-6"/>
        </w:rPr>
        <w:t xml:space="preserve"> </w:t>
      </w:r>
      <w:r>
        <w:rPr>
          <w:i/>
        </w:rPr>
        <w:t>subordinate</w:t>
      </w:r>
      <w:r>
        <w:rPr>
          <w:i/>
          <w:spacing w:val="-6"/>
        </w:rPr>
        <w:t xml:space="preserve"> </w:t>
      </w:r>
      <w:r>
        <w:rPr>
          <w:i/>
        </w:rPr>
        <w:t>regions</w:t>
      </w:r>
      <w:r>
        <w:rPr>
          <w:i/>
          <w:spacing w:val="-7"/>
        </w:rPr>
        <w:t xml:space="preserve"> </w:t>
      </w:r>
      <w:r>
        <w:t>across</w:t>
      </w:r>
      <w:r>
        <w:rPr>
          <w:spacing w:val="-7"/>
        </w:rPr>
        <w:t xml:space="preserve"> </w:t>
      </w:r>
      <w:r>
        <w:t>Europe</w:t>
      </w:r>
      <w:r>
        <w:rPr>
          <w:spacing w:val="-7"/>
        </w:rPr>
        <w:t xml:space="preserve"> </w:t>
      </w:r>
      <w:r>
        <w:t>(</w:t>
      </w:r>
      <w:r>
        <w:rPr>
          <w:b/>
        </w:rPr>
        <w:t>Fig.</w:t>
      </w:r>
      <w:r>
        <w:rPr>
          <w:b/>
          <w:spacing w:val="-7"/>
        </w:rPr>
        <w:t xml:space="preserve"> </w:t>
      </w:r>
      <w:r>
        <w:rPr>
          <w:b/>
        </w:rPr>
        <w:t>1</w:t>
      </w:r>
      <w:r>
        <w:t>).</w:t>
      </w:r>
      <w:r>
        <w:rPr>
          <w:spacing w:val="-7"/>
        </w:rPr>
        <w:t xml:space="preserve"> </w:t>
      </w:r>
      <w:r>
        <w:t>Similar</w:t>
      </w:r>
      <w:r>
        <w:rPr>
          <w:spacing w:val="-6"/>
        </w:rPr>
        <w:t xml:space="preserve"> </w:t>
      </w:r>
      <w:r>
        <w:t xml:space="preserve">groupings of countries into </w:t>
      </w:r>
      <w:r>
        <w:rPr>
          <w:i/>
        </w:rPr>
        <w:t xml:space="preserve">large regions </w:t>
      </w:r>
      <w:r>
        <w:t xml:space="preserve">have been applied elsewhere to analyse RE acceptance (e.g., Heiskanen et al., 2007). For the eight </w:t>
      </w:r>
      <w:r>
        <w:rPr>
          <w:i/>
        </w:rPr>
        <w:t>sub-regions</w:t>
      </w:r>
      <w:r>
        <w:t>, our typology mainly r</w:t>
      </w:r>
      <w:r>
        <w:t>ests on the spatial planning literature (Nadin and Stead, 2008; Newman and Thornley, 1996). Recent planning scholarship emphasizes that planning systems as well as planning cultures vary in Europe (Reimer</w:t>
      </w:r>
      <w:r>
        <w:rPr>
          <w:spacing w:val="-9"/>
        </w:rPr>
        <w:t xml:space="preserve"> </w:t>
      </w:r>
      <w:r>
        <w:t>and</w:t>
      </w:r>
      <w:r>
        <w:rPr>
          <w:spacing w:val="-5"/>
        </w:rPr>
        <w:t xml:space="preserve"> </w:t>
      </w:r>
      <w:r>
        <w:t>Blotevogel,</w:t>
      </w:r>
      <w:r>
        <w:rPr>
          <w:spacing w:val="-5"/>
        </w:rPr>
        <w:t xml:space="preserve"> </w:t>
      </w:r>
      <w:r>
        <w:t>2012;</w:t>
      </w:r>
      <w:r>
        <w:rPr>
          <w:spacing w:val="-7"/>
        </w:rPr>
        <w:t xml:space="preserve"> </w:t>
      </w:r>
      <w:r>
        <w:t>Stead,</w:t>
      </w:r>
      <w:r>
        <w:rPr>
          <w:spacing w:val="-8"/>
        </w:rPr>
        <w:t xml:space="preserve"> </w:t>
      </w:r>
      <w:r>
        <w:t>2013;</w:t>
      </w:r>
      <w:r>
        <w:rPr>
          <w:spacing w:val="-7"/>
        </w:rPr>
        <w:t xml:space="preserve"> </w:t>
      </w:r>
      <w:r>
        <w:t>Knieling</w:t>
      </w:r>
      <w:r>
        <w:rPr>
          <w:spacing w:val="-8"/>
        </w:rPr>
        <w:t xml:space="preserve"> </w:t>
      </w:r>
      <w:r>
        <w:t>and</w:t>
      </w:r>
      <w:r>
        <w:rPr>
          <w:spacing w:val="-8"/>
        </w:rPr>
        <w:t xml:space="preserve"> </w:t>
      </w:r>
      <w:r>
        <w:t>Othengrafen,</w:t>
      </w:r>
      <w:r>
        <w:rPr>
          <w:spacing w:val="-8"/>
        </w:rPr>
        <w:t xml:space="preserve"> </w:t>
      </w:r>
      <w:r>
        <w:t>2015).</w:t>
      </w:r>
      <w:r>
        <w:rPr>
          <w:spacing w:val="-8"/>
        </w:rPr>
        <w:t xml:space="preserve"> </w:t>
      </w:r>
      <w:r>
        <w:t>The</w:t>
      </w:r>
      <w:r>
        <w:rPr>
          <w:spacing w:val="-9"/>
        </w:rPr>
        <w:t xml:space="preserve"> </w:t>
      </w:r>
      <w:r>
        <w:t>variation</w:t>
      </w:r>
      <w:r>
        <w:rPr>
          <w:spacing w:val="-7"/>
        </w:rPr>
        <w:t xml:space="preserve"> </w:t>
      </w:r>
      <w:r>
        <w:t>of legal and administrative procedures extends to how they are applied; further affecting the outcomes</w:t>
      </w:r>
      <w:r>
        <w:rPr>
          <w:spacing w:val="-7"/>
        </w:rPr>
        <w:t xml:space="preserve"> </w:t>
      </w:r>
      <w:r>
        <w:t>of</w:t>
      </w:r>
      <w:r>
        <w:rPr>
          <w:spacing w:val="-7"/>
        </w:rPr>
        <w:t xml:space="preserve"> </w:t>
      </w:r>
      <w:r>
        <w:t>decision-making</w:t>
      </w:r>
      <w:r>
        <w:rPr>
          <w:spacing w:val="-9"/>
        </w:rPr>
        <w:t xml:space="preserve"> </w:t>
      </w:r>
      <w:r>
        <w:t>(Reimer</w:t>
      </w:r>
      <w:r>
        <w:rPr>
          <w:spacing w:val="-7"/>
        </w:rPr>
        <w:t xml:space="preserve"> </w:t>
      </w:r>
      <w:r>
        <w:t>and</w:t>
      </w:r>
      <w:r>
        <w:rPr>
          <w:spacing w:val="-7"/>
        </w:rPr>
        <w:t xml:space="preserve"> </w:t>
      </w:r>
      <w:r>
        <w:t>Blotevogel,</w:t>
      </w:r>
      <w:r>
        <w:rPr>
          <w:spacing w:val="-5"/>
        </w:rPr>
        <w:t xml:space="preserve"> </w:t>
      </w:r>
      <w:r>
        <w:t>2012;</w:t>
      </w:r>
      <w:r>
        <w:rPr>
          <w:spacing w:val="-7"/>
        </w:rPr>
        <w:t xml:space="preserve"> </w:t>
      </w:r>
      <w:r>
        <w:t>Munteanu</w:t>
      </w:r>
      <w:r>
        <w:rPr>
          <w:spacing w:val="-6"/>
        </w:rPr>
        <w:t xml:space="preserve"> </w:t>
      </w:r>
      <w:r>
        <w:t>and</w:t>
      </w:r>
      <w:r>
        <w:rPr>
          <w:spacing w:val="-7"/>
        </w:rPr>
        <w:t xml:space="preserve"> </w:t>
      </w:r>
      <w:r>
        <w:t>Servillo,</w:t>
      </w:r>
      <w:r>
        <w:rPr>
          <w:spacing w:val="-5"/>
        </w:rPr>
        <w:t xml:space="preserve"> </w:t>
      </w:r>
      <w:r>
        <w:t>2014).</w:t>
      </w:r>
      <w:r>
        <w:rPr>
          <w:spacing w:val="-7"/>
        </w:rPr>
        <w:t xml:space="preserve"> </w:t>
      </w:r>
      <w:r>
        <w:rPr>
          <w:spacing w:val="-4"/>
        </w:rPr>
        <w:t xml:space="preserve">In </w:t>
      </w:r>
      <w:r>
        <w:t>addition, for Eastern and Southern Eu</w:t>
      </w:r>
      <w:r>
        <w:t>rope, our typology rests on pragmatic reasons (e.g., to guarantee a more equal distribution of survey responses) and on historical considerations</w:t>
      </w:r>
      <w:r>
        <w:rPr>
          <w:spacing w:val="-33"/>
        </w:rPr>
        <w:t xml:space="preserve"> </w:t>
      </w:r>
      <w:r>
        <w:t>(e.g., legacies</w:t>
      </w:r>
      <w:r>
        <w:rPr>
          <w:spacing w:val="-17"/>
        </w:rPr>
        <w:t xml:space="preserve"> </w:t>
      </w:r>
      <w:r>
        <w:t>of</w:t>
      </w:r>
      <w:r>
        <w:rPr>
          <w:spacing w:val="-17"/>
        </w:rPr>
        <w:t xml:space="preserve"> </w:t>
      </w:r>
      <w:r>
        <w:t>the</w:t>
      </w:r>
      <w:r>
        <w:rPr>
          <w:spacing w:val="-14"/>
        </w:rPr>
        <w:t xml:space="preserve"> </w:t>
      </w:r>
      <w:r>
        <w:t>Habsburgian</w:t>
      </w:r>
      <w:r>
        <w:rPr>
          <w:spacing w:val="-15"/>
        </w:rPr>
        <w:t xml:space="preserve"> </w:t>
      </w:r>
      <w:r>
        <w:t>empire)</w:t>
      </w:r>
      <w:r>
        <w:rPr>
          <w:spacing w:val="-16"/>
        </w:rPr>
        <w:t xml:space="preserve"> </w:t>
      </w:r>
      <w:r>
        <w:t>(cf.</w:t>
      </w:r>
      <w:r>
        <w:rPr>
          <w:spacing w:val="-13"/>
        </w:rPr>
        <w:t xml:space="preserve"> </w:t>
      </w:r>
      <w:r>
        <w:t>Inglehart</w:t>
      </w:r>
      <w:r>
        <w:rPr>
          <w:spacing w:val="-13"/>
        </w:rPr>
        <w:t xml:space="preserve"> </w:t>
      </w:r>
      <w:r>
        <w:t>and</w:t>
      </w:r>
      <w:r>
        <w:rPr>
          <w:spacing w:val="-15"/>
        </w:rPr>
        <w:t xml:space="preserve"> </w:t>
      </w:r>
      <w:r>
        <w:t>Welzel,</w:t>
      </w:r>
      <w:r>
        <w:rPr>
          <w:spacing w:val="-15"/>
        </w:rPr>
        <w:t xml:space="preserve"> </w:t>
      </w:r>
      <w:r>
        <w:t>2010;</w:t>
      </w:r>
      <w:r>
        <w:rPr>
          <w:spacing w:val="-15"/>
        </w:rPr>
        <w:t xml:space="preserve"> </w:t>
      </w:r>
      <w:r>
        <w:t>Jauhiainen,</w:t>
      </w:r>
      <w:r>
        <w:rPr>
          <w:spacing w:val="-16"/>
        </w:rPr>
        <w:t xml:space="preserve"> </w:t>
      </w:r>
      <w:r>
        <w:t>2014).</w:t>
      </w:r>
      <w:r>
        <w:rPr>
          <w:spacing w:val="-11"/>
        </w:rPr>
        <w:t xml:space="preserve"> </w:t>
      </w:r>
      <w:r>
        <w:t>In</w:t>
      </w:r>
      <w:r>
        <w:rPr>
          <w:spacing w:val="-16"/>
        </w:rPr>
        <w:t xml:space="preserve"> </w:t>
      </w:r>
      <w:r>
        <w:t>these region</w:t>
      </w:r>
      <w:r>
        <w:t>s, not much WE acceptance or spatial planning specific literature</w:t>
      </w:r>
      <w:r>
        <w:rPr>
          <w:spacing w:val="-10"/>
        </w:rPr>
        <w:t xml:space="preserve"> </w:t>
      </w:r>
      <w:r>
        <w:t>exists.</w:t>
      </w:r>
    </w:p>
    <w:p w:rsidR="00C94252" w:rsidRDefault="00A33443">
      <w:pPr>
        <w:pStyle w:val="Brdtekst"/>
        <w:spacing w:before="162"/>
        <w:ind w:left="116" w:right="194"/>
        <w:jc w:val="both"/>
      </w:pPr>
      <w:r>
        <w:t>A major drawback of any typology is an over-emphasis on certain aspects (like the formal structure of planning). This tends to neglect the ways the systems are functioning in practic</w:t>
      </w:r>
      <w:r>
        <w:t>e (Nadin and Stead, 2008). However, as certain general similarities between planning system traditions can still be drawn, we are interested in testing if and how such differences play out in actual WE planning.</w:t>
      </w:r>
    </w:p>
    <w:p w:rsidR="00C94252" w:rsidRDefault="00C94252">
      <w:pPr>
        <w:jc w:val="both"/>
        <w:sectPr w:rsidR="00C94252">
          <w:pgSz w:w="11900" w:h="16850"/>
          <w:pgMar w:top="1200" w:right="1220" w:bottom="940" w:left="1300" w:header="0" w:footer="751" w:gutter="0"/>
          <w:cols w:space="708"/>
        </w:sectPr>
      </w:pPr>
    </w:p>
    <w:p w:rsidR="00C94252" w:rsidRDefault="00A33443">
      <w:pPr>
        <w:pStyle w:val="Brdtekst"/>
        <w:ind w:left="221"/>
        <w:rPr>
          <w:sz w:val="20"/>
        </w:rPr>
      </w:pPr>
      <w:r>
        <w:rPr>
          <w:noProof/>
          <w:sz w:val="20"/>
          <w:lang w:val="nb-NO" w:eastAsia="nb-NO"/>
        </w:rPr>
        <w:drawing>
          <wp:inline distT="0" distB="0" distL="0" distR="0">
            <wp:extent cx="5608232" cy="45258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608232" cy="4525803"/>
                    </a:xfrm>
                    <a:prstGeom prst="rect">
                      <a:avLst/>
                    </a:prstGeom>
                  </pic:spPr>
                </pic:pic>
              </a:graphicData>
            </a:graphic>
          </wp:inline>
        </w:drawing>
      </w:r>
    </w:p>
    <w:p w:rsidR="00C94252" w:rsidRDefault="00A33443">
      <w:pPr>
        <w:pStyle w:val="Brdtekst"/>
        <w:spacing w:before="94"/>
        <w:ind w:left="116" w:right="193"/>
        <w:jc w:val="both"/>
      </w:pPr>
      <w:r>
        <w:rPr>
          <w:b/>
        </w:rPr>
        <w:t>Figure</w:t>
      </w:r>
      <w:r>
        <w:rPr>
          <w:b/>
          <w:spacing w:val="-5"/>
        </w:rPr>
        <w:t xml:space="preserve"> </w:t>
      </w:r>
      <w:r>
        <w:rPr>
          <w:b/>
        </w:rPr>
        <w:t>1</w:t>
      </w:r>
      <w:r>
        <w:t>.</w:t>
      </w:r>
      <w:r>
        <w:rPr>
          <w:spacing w:val="-4"/>
        </w:rPr>
        <w:t xml:space="preserve"> </w:t>
      </w:r>
      <w:r>
        <w:t>Regions</w:t>
      </w:r>
      <w:r>
        <w:rPr>
          <w:spacing w:val="-3"/>
        </w:rPr>
        <w:t xml:space="preserve"> </w:t>
      </w:r>
      <w:r>
        <w:t>for</w:t>
      </w:r>
      <w:r>
        <w:rPr>
          <w:spacing w:val="-3"/>
        </w:rPr>
        <w:t xml:space="preserve"> </w:t>
      </w:r>
      <w:r>
        <w:t>analysing</w:t>
      </w:r>
      <w:r>
        <w:rPr>
          <w:spacing w:val="-5"/>
        </w:rPr>
        <w:t xml:space="preserve"> </w:t>
      </w:r>
      <w:r>
        <w:t>WE</w:t>
      </w:r>
      <w:r>
        <w:rPr>
          <w:spacing w:val="-4"/>
        </w:rPr>
        <w:t xml:space="preserve"> </w:t>
      </w:r>
      <w:r>
        <w:t>acceptance</w:t>
      </w:r>
      <w:r>
        <w:rPr>
          <w:spacing w:val="-4"/>
        </w:rPr>
        <w:t xml:space="preserve"> </w:t>
      </w:r>
      <w:r>
        <w:t>across</w:t>
      </w:r>
      <w:r>
        <w:rPr>
          <w:spacing w:val="-3"/>
        </w:rPr>
        <w:t xml:space="preserve"> </w:t>
      </w:r>
      <w:r>
        <w:t>Europe.</w:t>
      </w:r>
      <w:r>
        <w:rPr>
          <w:spacing w:val="-4"/>
        </w:rPr>
        <w:t xml:space="preserve"> </w:t>
      </w:r>
      <w:r>
        <w:t>Note:</w:t>
      </w:r>
      <w:r>
        <w:rPr>
          <w:spacing w:val="-3"/>
        </w:rPr>
        <w:t xml:space="preserve"> </w:t>
      </w:r>
      <w:r>
        <w:t>France</w:t>
      </w:r>
      <w:r>
        <w:rPr>
          <w:spacing w:val="-4"/>
        </w:rPr>
        <w:t xml:space="preserve"> </w:t>
      </w:r>
      <w:r>
        <w:t>can</w:t>
      </w:r>
      <w:r>
        <w:rPr>
          <w:spacing w:val="-3"/>
        </w:rPr>
        <w:t xml:space="preserve"> </w:t>
      </w:r>
      <w:r>
        <w:t>be</w:t>
      </w:r>
      <w:r>
        <w:rPr>
          <w:spacing w:val="-5"/>
        </w:rPr>
        <w:t xml:space="preserve"> </w:t>
      </w:r>
      <w:r>
        <w:t>viewed</w:t>
      </w:r>
      <w:r>
        <w:rPr>
          <w:spacing w:val="-1"/>
        </w:rPr>
        <w:t xml:space="preserve"> </w:t>
      </w:r>
      <w:r>
        <w:t>as a</w:t>
      </w:r>
      <w:r>
        <w:rPr>
          <w:spacing w:val="-10"/>
        </w:rPr>
        <w:t xml:space="preserve"> </w:t>
      </w:r>
      <w:r>
        <w:t>‘bridge’</w:t>
      </w:r>
      <w:r>
        <w:rPr>
          <w:spacing w:val="-9"/>
        </w:rPr>
        <w:t xml:space="preserve"> </w:t>
      </w:r>
      <w:r>
        <w:t>between</w:t>
      </w:r>
      <w:r>
        <w:rPr>
          <w:spacing w:val="-8"/>
        </w:rPr>
        <w:t xml:space="preserve"> </w:t>
      </w:r>
      <w:r>
        <w:t>north</w:t>
      </w:r>
      <w:r>
        <w:rPr>
          <w:spacing w:val="-9"/>
        </w:rPr>
        <w:t xml:space="preserve"> </w:t>
      </w:r>
      <w:r>
        <w:t>Western</w:t>
      </w:r>
      <w:r>
        <w:rPr>
          <w:spacing w:val="-8"/>
        </w:rPr>
        <w:t xml:space="preserve"> </w:t>
      </w:r>
      <w:r>
        <w:t>and</w:t>
      </w:r>
      <w:r>
        <w:rPr>
          <w:spacing w:val="-9"/>
        </w:rPr>
        <w:t xml:space="preserve"> </w:t>
      </w:r>
      <w:r>
        <w:t>Southern</w:t>
      </w:r>
      <w:r>
        <w:rPr>
          <w:spacing w:val="-8"/>
        </w:rPr>
        <w:t xml:space="preserve"> </w:t>
      </w:r>
      <w:r>
        <w:t>Europe</w:t>
      </w:r>
      <w:r>
        <w:rPr>
          <w:spacing w:val="-9"/>
        </w:rPr>
        <w:t xml:space="preserve"> </w:t>
      </w:r>
      <w:r>
        <w:t>(Rivolin</w:t>
      </w:r>
      <w:r>
        <w:rPr>
          <w:spacing w:val="-8"/>
        </w:rPr>
        <w:t xml:space="preserve"> </w:t>
      </w:r>
      <w:r>
        <w:t>and</w:t>
      </w:r>
      <w:r>
        <w:rPr>
          <w:spacing w:val="-9"/>
        </w:rPr>
        <w:t xml:space="preserve"> </w:t>
      </w:r>
      <w:r>
        <w:t>Faludi,</w:t>
      </w:r>
      <w:r>
        <w:rPr>
          <w:spacing w:val="-6"/>
        </w:rPr>
        <w:t xml:space="preserve"> </w:t>
      </w:r>
      <w:r>
        <w:t>2005).</w:t>
      </w:r>
      <w:r>
        <w:rPr>
          <w:spacing w:val="-8"/>
        </w:rPr>
        <w:t xml:space="preserve"> </w:t>
      </w:r>
      <w:r>
        <w:t>The</w:t>
      </w:r>
      <w:r>
        <w:rPr>
          <w:spacing w:val="-9"/>
        </w:rPr>
        <w:t xml:space="preserve"> </w:t>
      </w:r>
      <w:r>
        <w:t>full</w:t>
      </w:r>
      <w:r>
        <w:rPr>
          <w:spacing w:val="-8"/>
        </w:rPr>
        <w:t xml:space="preserve"> </w:t>
      </w:r>
      <w:r>
        <w:t xml:space="preserve">list of countries participating in COST Action TU1401 can be found at </w:t>
      </w:r>
      <w:hyperlink r:id="rId17">
        <w:r>
          <w:rPr>
            <w:color w:val="0000FF"/>
            <w:u w:val="single" w:color="0000FF"/>
          </w:rPr>
          <w:t>http://cost-rely.eu/about-</w:t>
        </w:r>
      </w:hyperlink>
      <w:r>
        <w:rPr>
          <w:color w:val="0000FF"/>
        </w:rPr>
        <w:t xml:space="preserve"> </w:t>
      </w:r>
      <w:hyperlink r:id="rId18">
        <w:r>
          <w:rPr>
            <w:color w:val="0000FF"/>
            <w:u w:val="single" w:color="0000FF"/>
          </w:rPr>
          <w:t>the-action/lorem-ipsum</w:t>
        </w:r>
        <w:r>
          <w:t xml:space="preserve">. </w:t>
        </w:r>
      </w:hyperlink>
      <w:r>
        <w:t>Maps prepared by S.</w:t>
      </w:r>
      <w:r>
        <w:rPr>
          <w:spacing w:val="-4"/>
        </w:rPr>
        <w:t xml:space="preserve"> </w:t>
      </w:r>
      <w:r>
        <w:t>Martinat.</w:t>
      </w:r>
    </w:p>
    <w:p w:rsidR="00C94252" w:rsidRDefault="00C94252">
      <w:pPr>
        <w:pStyle w:val="Brdtekst"/>
        <w:rPr>
          <w:sz w:val="20"/>
        </w:rPr>
      </w:pPr>
    </w:p>
    <w:p w:rsidR="00C94252" w:rsidRDefault="00C94252">
      <w:pPr>
        <w:pStyle w:val="Brdtekst"/>
        <w:spacing w:before="2"/>
        <w:rPr>
          <w:sz w:val="29"/>
        </w:rPr>
      </w:pPr>
    </w:p>
    <w:p w:rsidR="00C94252" w:rsidRDefault="00A33443">
      <w:pPr>
        <w:pStyle w:val="Overskrift1"/>
        <w:numPr>
          <w:ilvl w:val="0"/>
          <w:numId w:val="5"/>
        </w:numPr>
        <w:tabs>
          <w:tab w:val="left" w:pos="477"/>
        </w:tabs>
        <w:spacing w:before="90"/>
        <w:ind w:left="476"/>
      </w:pPr>
      <w:r>
        <w:t>Methods</w:t>
      </w:r>
    </w:p>
    <w:p w:rsidR="00C94252" w:rsidRDefault="00C94252">
      <w:pPr>
        <w:pStyle w:val="Brdtekst"/>
        <w:spacing w:before="6"/>
        <w:rPr>
          <w:b/>
          <w:sz w:val="31"/>
        </w:rPr>
      </w:pPr>
    </w:p>
    <w:p w:rsidR="00C94252" w:rsidRDefault="00A33443">
      <w:pPr>
        <w:pStyle w:val="Listeavsnitt"/>
        <w:numPr>
          <w:ilvl w:val="1"/>
          <w:numId w:val="4"/>
        </w:numPr>
        <w:tabs>
          <w:tab w:val="left" w:pos="478"/>
        </w:tabs>
        <w:rPr>
          <w:b/>
          <w:sz w:val="24"/>
        </w:rPr>
      </w:pPr>
      <w:r>
        <w:rPr>
          <w:b/>
          <w:sz w:val="24"/>
        </w:rPr>
        <w:t>Survey design and questionnaire</w:t>
      </w:r>
      <w:r>
        <w:rPr>
          <w:b/>
          <w:spacing w:val="-2"/>
          <w:sz w:val="24"/>
        </w:rPr>
        <w:t xml:space="preserve"> </w:t>
      </w:r>
      <w:r>
        <w:rPr>
          <w:b/>
          <w:sz w:val="24"/>
        </w:rPr>
        <w:t>content</w:t>
      </w:r>
    </w:p>
    <w:p w:rsidR="00C94252" w:rsidRDefault="00A33443">
      <w:pPr>
        <w:pStyle w:val="Brdtekst"/>
        <w:spacing w:before="116"/>
        <w:ind w:left="116" w:right="191"/>
        <w:jc w:val="both"/>
      </w:pPr>
      <w:r>
        <w:t>The research strategy followed is primarily quantitative. An expert survey about participatory planning of WE projects was conducted in the framework of the COST Action TU 1401 ‘Renewable Energy and Landscape Quality’ (</w:t>
      </w:r>
      <w:hyperlink r:id="rId19">
        <w:r>
          <w:rPr>
            <w:color w:val="0462C1"/>
            <w:u w:val="single" w:color="0462C1"/>
          </w:rPr>
          <w:t>http://cost-rely.eu/</w:t>
        </w:r>
      </w:hyperlink>
      <w:r>
        <w:t>). Initially it was accepted that expert assessments are ‘</w:t>
      </w:r>
      <w:r>
        <w:rPr>
          <w:i/>
        </w:rPr>
        <w:t>the expressions of informed opinion that experts make based on their knowledge and experience</w:t>
      </w:r>
      <w:r>
        <w:t>’ with respect to a technical problem (Bosetti et al., 2012:310). Expert</w:t>
      </w:r>
      <w:r>
        <w:rPr>
          <w:spacing w:val="-9"/>
        </w:rPr>
        <w:t xml:space="preserve"> </w:t>
      </w:r>
      <w:r>
        <w:t>surveys</w:t>
      </w:r>
      <w:r>
        <w:rPr>
          <w:spacing w:val="-6"/>
        </w:rPr>
        <w:t xml:space="preserve"> </w:t>
      </w:r>
      <w:r>
        <w:t>h</w:t>
      </w:r>
      <w:r>
        <w:t>ave</w:t>
      </w:r>
      <w:r>
        <w:rPr>
          <w:spacing w:val="-7"/>
        </w:rPr>
        <w:t xml:space="preserve"> </w:t>
      </w:r>
      <w:r>
        <w:t>been</w:t>
      </w:r>
      <w:r>
        <w:rPr>
          <w:spacing w:val="-6"/>
        </w:rPr>
        <w:t xml:space="preserve"> </w:t>
      </w:r>
      <w:r>
        <w:t>widely</w:t>
      </w:r>
      <w:r>
        <w:rPr>
          <w:spacing w:val="-11"/>
        </w:rPr>
        <w:t xml:space="preserve"> </w:t>
      </w:r>
      <w:r>
        <w:t>used</w:t>
      </w:r>
      <w:r>
        <w:rPr>
          <w:spacing w:val="-9"/>
        </w:rPr>
        <w:t xml:space="preserve"> </w:t>
      </w:r>
      <w:r>
        <w:t>in</w:t>
      </w:r>
      <w:r>
        <w:rPr>
          <w:spacing w:val="-9"/>
        </w:rPr>
        <w:t xml:space="preserve"> </w:t>
      </w:r>
      <w:r>
        <w:t>RE</w:t>
      </w:r>
      <w:r>
        <w:rPr>
          <w:spacing w:val="-9"/>
        </w:rPr>
        <w:t xml:space="preserve"> </w:t>
      </w:r>
      <w:r>
        <w:t>studies</w:t>
      </w:r>
      <w:r>
        <w:rPr>
          <w:spacing w:val="-8"/>
        </w:rPr>
        <w:t xml:space="preserve"> </w:t>
      </w:r>
      <w:r>
        <w:t>(e.g.,</w:t>
      </w:r>
      <w:r>
        <w:rPr>
          <w:spacing w:val="-6"/>
        </w:rPr>
        <w:t xml:space="preserve"> </w:t>
      </w:r>
      <w:r>
        <w:t>Lee</w:t>
      </w:r>
      <w:r>
        <w:rPr>
          <w:spacing w:val="-7"/>
        </w:rPr>
        <w:t xml:space="preserve"> </w:t>
      </w:r>
      <w:r>
        <w:t>et</w:t>
      </w:r>
      <w:r>
        <w:rPr>
          <w:spacing w:val="-8"/>
        </w:rPr>
        <w:t xml:space="preserve"> </w:t>
      </w:r>
      <w:r>
        <w:t>al.,</w:t>
      </w:r>
      <w:r>
        <w:rPr>
          <w:spacing w:val="-8"/>
        </w:rPr>
        <w:t xml:space="preserve"> </w:t>
      </w:r>
      <w:r>
        <w:t>2009;</w:t>
      </w:r>
      <w:r>
        <w:rPr>
          <w:spacing w:val="-6"/>
        </w:rPr>
        <w:t xml:space="preserve"> </w:t>
      </w:r>
      <w:r>
        <w:t>Frantál</w:t>
      </w:r>
      <w:r>
        <w:rPr>
          <w:spacing w:val="-8"/>
        </w:rPr>
        <w:t xml:space="preserve"> </w:t>
      </w:r>
      <w:r>
        <w:t>et</w:t>
      </w:r>
      <w:r>
        <w:rPr>
          <w:spacing w:val="-6"/>
        </w:rPr>
        <w:t xml:space="preserve"> </w:t>
      </w:r>
      <w:r>
        <w:t>al.,</w:t>
      </w:r>
      <w:r>
        <w:rPr>
          <w:spacing w:val="-8"/>
        </w:rPr>
        <w:t xml:space="preserve"> </w:t>
      </w:r>
      <w:r>
        <w:t>2018). However, our results should be interpreted bearing in mind certain considerations, which we briefly discuss below (Section</w:t>
      </w:r>
      <w:r>
        <w:rPr>
          <w:spacing w:val="-4"/>
        </w:rPr>
        <w:t xml:space="preserve"> </w:t>
      </w:r>
      <w:r>
        <w:t>5.3).</w:t>
      </w:r>
    </w:p>
    <w:p w:rsidR="00C94252" w:rsidRDefault="00A33443">
      <w:pPr>
        <w:pStyle w:val="Brdtekst"/>
        <w:spacing w:before="161"/>
        <w:ind w:left="116" w:right="191"/>
        <w:jc w:val="both"/>
        <w:rPr>
          <w:i/>
        </w:rPr>
      </w:pPr>
      <w:r>
        <w:t>The survey was initiated, designed and set u</w:t>
      </w:r>
      <w:r>
        <w:t>p mainly by the members of the WG3 ‘Socio- cultural Aspects of Sustainable RE Production’. We defined the content and structure of the questionnaire during several meetings of WG3, based on the experience of individual Action members, and a literature revi</w:t>
      </w:r>
      <w:r>
        <w:t>ew. We used the keywords ‘acceptance’, ‘resistance’, ‘factors’, ‘wind energy’, ‘planning’, ‘Europe’ and ‘case study’ to search for literature in scientific databases</w:t>
      </w:r>
      <w:r>
        <w:rPr>
          <w:spacing w:val="-14"/>
        </w:rPr>
        <w:t xml:space="preserve"> </w:t>
      </w:r>
      <w:r>
        <w:t>and</w:t>
      </w:r>
      <w:r>
        <w:rPr>
          <w:spacing w:val="-16"/>
        </w:rPr>
        <w:t xml:space="preserve"> </w:t>
      </w:r>
      <w:r>
        <w:t>search</w:t>
      </w:r>
      <w:r>
        <w:rPr>
          <w:spacing w:val="-13"/>
        </w:rPr>
        <w:t xml:space="preserve"> </w:t>
      </w:r>
      <w:r>
        <w:t>engines,</w:t>
      </w:r>
      <w:r>
        <w:rPr>
          <w:spacing w:val="-15"/>
        </w:rPr>
        <w:t xml:space="preserve"> </w:t>
      </w:r>
      <w:r>
        <w:t>e.g.,</w:t>
      </w:r>
      <w:r>
        <w:rPr>
          <w:spacing w:val="-16"/>
        </w:rPr>
        <w:t xml:space="preserve"> </w:t>
      </w:r>
      <w:r>
        <w:t>Google</w:t>
      </w:r>
      <w:r>
        <w:rPr>
          <w:spacing w:val="-16"/>
        </w:rPr>
        <w:t xml:space="preserve"> </w:t>
      </w:r>
      <w:r>
        <w:t>Scholar</w:t>
      </w:r>
      <w:r>
        <w:rPr>
          <w:spacing w:val="-14"/>
        </w:rPr>
        <w:t xml:space="preserve"> </w:t>
      </w:r>
      <w:r>
        <w:t>and</w:t>
      </w:r>
      <w:r>
        <w:rPr>
          <w:spacing w:val="-16"/>
        </w:rPr>
        <w:t xml:space="preserve"> </w:t>
      </w:r>
      <w:r>
        <w:t>Web</w:t>
      </w:r>
      <w:r>
        <w:rPr>
          <w:spacing w:val="-16"/>
        </w:rPr>
        <w:t xml:space="preserve"> </w:t>
      </w:r>
      <w:r>
        <w:t>of</w:t>
      </w:r>
      <w:r>
        <w:rPr>
          <w:spacing w:val="-17"/>
        </w:rPr>
        <w:t xml:space="preserve"> </w:t>
      </w:r>
      <w:r>
        <w:t>Science.</w:t>
      </w:r>
      <w:r>
        <w:rPr>
          <w:spacing w:val="-15"/>
        </w:rPr>
        <w:t xml:space="preserve"> </w:t>
      </w:r>
      <w:r>
        <w:t>Following</w:t>
      </w:r>
      <w:r>
        <w:rPr>
          <w:spacing w:val="-17"/>
        </w:rPr>
        <w:t xml:space="preserve"> </w:t>
      </w:r>
      <w:r>
        <w:t>the</w:t>
      </w:r>
      <w:r>
        <w:rPr>
          <w:spacing w:val="-16"/>
        </w:rPr>
        <w:t xml:space="preserve"> </w:t>
      </w:r>
      <w:r>
        <w:t>literature review</w:t>
      </w:r>
      <w:r>
        <w:rPr>
          <w:spacing w:val="-17"/>
        </w:rPr>
        <w:t xml:space="preserve"> </w:t>
      </w:r>
      <w:r>
        <w:t>key</w:t>
      </w:r>
      <w:r>
        <w:rPr>
          <w:spacing w:val="-20"/>
        </w:rPr>
        <w:t xml:space="preserve"> </w:t>
      </w:r>
      <w:r>
        <w:t>knowledge</w:t>
      </w:r>
      <w:r>
        <w:rPr>
          <w:spacing w:val="-13"/>
        </w:rPr>
        <w:t xml:space="preserve"> </w:t>
      </w:r>
      <w:r>
        <w:t>gaps</w:t>
      </w:r>
      <w:r>
        <w:rPr>
          <w:spacing w:val="-15"/>
        </w:rPr>
        <w:t xml:space="preserve"> </w:t>
      </w:r>
      <w:r>
        <w:t>were</w:t>
      </w:r>
      <w:r>
        <w:rPr>
          <w:spacing w:val="-17"/>
        </w:rPr>
        <w:t xml:space="preserve"> </w:t>
      </w:r>
      <w:r>
        <w:t>identified</w:t>
      </w:r>
      <w:r>
        <w:rPr>
          <w:spacing w:val="-15"/>
        </w:rPr>
        <w:t xml:space="preserve"> </w:t>
      </w:r>
      <w:r>
        <w:t>as</w:t>
      </w:r>
      <w:r>
        <w:rPr>
          <w:spacing w:val="-16"/>
        </w:rPr>
        <w:t xml:space="preserve"> </w:t>
      </w:r>
      <w:r>
        <w:t>discussed</w:t>
      </w:r>
      <w:r>
        <w:rPr>
          <w:spacing w:val="-16"/>
        </w:rPr>
        <w:t xml:space="preserve"> </w:t>
      </w:r>
      <w:r>
        <w:t>above:</w:t>
      </w:r>
      <w:r>
        <w:rPr>
          <w:spacing w:val="-14"/>
        </w:rPr>
        <w:t xml:space="preserve"> </w:t>
      </w:r>
      <w:r>
        <w:t>i)</w:t>
      </w:r>
      <w:r>
        <w:rPr>
          <w:spacing w:val="-17"/>
        </w:rPr>
        <w:t xml:space="preserve"> </w:t>
      </w:r>
      <w:r>
        <w:rPr>
          <w:i/>
        </w:rPr>
        <w:t>acceptance/resistance</w:t>
      </w:r>
      <w:r>
        <w:rPr>
          <w:i/>
          <w:spacing w:val="-15"/>
        </w:rPr>
        <w:t xml:space="preserve"> </w:t>
      </w:r>
      <w:r>
        <w:rPr>
          <w:i/>
        </w:rPr>
        <w:t>factors</w:t>
      </w:r>
    </w:p>
    <w:p w:rsidR="00C94252" w:rsidRDefault="00C94252">
      <w:pPr>
        <w:jc w:val="both"/>
        <w:sectPr w:rsidR="00C94252">
          <w:pgSz w:w="11900" w:h="16850"/>
          <w:pgMar w:top="1280" w:right="1220" w:bottom="940" w:left="1300" w:header="0" w:footer="751" w:gutter="0"/>
          <w:cols w:space="708"/>
        </w:sectPr>
      </w:pPr>
    </w:p>
    <w:p w:rsidR="00C94252" w:rsidRDefault="00A33443">
      <w:pPr>
        <w:spacing w:before="70"/>
        <w:ind w:left="116"/>
        <w:rPr>
          <w:i/>
          <w:sz w:val="24"/>
        </w:rPr>
      </w:pPr>
      <w:r>
        <w:rPr>
          <w:sz w:val="24"/>
        </w:rPr>
        <w:t xml:space="preserve">(e.g., aesthetics and image) in </w:t>
      </w:r>
      <w:r>
        <w:rPr>
          <w:i/>
          <w:sz w:val="24"/>
        </w:rPr>
        <w:t xml:space="preserve">different contexts, </w:t>
      </w:r>
      <w:r>
        <w:rPr>
          <w:sz w:val="24"/>
        </w:rPr>
        <w:t xml:space="preserve">and ii) </w:t>
      </w:r>
      <w:r>
        <w:rPr>
          <w:i/>
          <w:sz w:val="24"/>
        </w:rPr>
        <w:t>strategic and local planning of WE</w:t>
      </w:r>
    </w:p>
    <w:p w:rsidR="00C94252" w:rsidRDefault="00A33443">
      <w:pPr>
        <w:pStyle w:val="Brdtekst"/>
        <w:ind w:left="116"/>
      </w:pPr>
      <w:r>
        <w:t>(e.g., process-, outcome and contextu</w:t>
      </w:r>
      <w:r>
        <w:t>al characteristics of planning).</w:t>
      </w:r>
    </w:p>
    <w:p w:rsidR="00C94252" w:rsidRDefault="00A33443">
      <w:pPr>
        <w:pStyle w:val="Brdtekst"/>
        <w:spacing w:before="159"/>
        <w:ind w:left="116" w:right="190"/>
        <w:jc w:val="both"/>
      </w:pPr>
      <w:r>
        <w:t>The questionnaire (</w:t>
      </w:r>
      <w:r>
        <w:rPr>
          <w:b/>
        </w:rPr>
        <w:t>Appendix A</w:t>
      </w:r>
      <w:r>
        <w:t>) includes the following topics: strategic planning, community initiatives, local involvement and local acceptance. As specified in the research questions, we do not address the results of the s</w:t>
      </w:r>
      <w:r>
        <w:t>urvey in its entirety but focus on the following four topics as summarised below:</w:t>
      </w:r>
    </w:p>
    <w:p w:rsidR="00C94252" w:rsidRDefault="00A33443">
      <w:pPr>
        <w:pStyle w:val="Listeavsnitt"/>
        <w:numPr>
          <w:ilvl w:val="2"/>
          <w:numId w:val="4"/>
        </w:numPr>
        <w:tabs>
          <w:tab w:val="left" w:pos="837"/>
        </w:tabs>
        <w:spacing w:line="259" w:lineRule="auto"/>
        <w:ind w:right="192"/>
        <w:jc w:val="both"/>
        <w:rPr>
          <w:sz w:val="24"/>
        </w:rPr>
      </w:pPr>
      <w:r>
        <w:rPr>
          <w:sz w:val="24"/>
        </w:rPr>
        <w:t>Explaining resistance: perceptions of reasons for resistance against WE, Question (Q)27. Literature suggests that resistance is mostly caused</w:t>
      </w:r>
      <w:r>
        <w:rPr>
          <w:spacing w:val="-5"/>
          <w:sz w:val="24"/>
        </w:rPr>
        <w:t xml:space="preserve"> </w:t>
      </w:r>
      <w:r>
        <w:rPr>
          <w:sz w:val="24"/>
        </w:rPr>
        <w:t>by:</w:t>
      </w:r>
    </w:p>
    <w:p w:rsidR="00C94252" w:rsidRDefault="00A33443">
      <w:pPr>
        <w:pStyle w:val="Listeavsnitt"/>
        <w:numPr>
          <w:ilvl w:val="3"/>
          <w:numId w:val="4"/>
        </w:numPr>
        <w:tabs>
          <w:tab w:val="left" w:pos="1197"/>
        </w:tabs>
        <w:spacing w:before="159" w:line="256" w:lineRule="auto"/>
        <w:ind w:right="191"/>
        <w:jc w:val="both"/>
        <w:rPr>
          <w:sz w:val="24"/>
        </w:rPr>
      </w:pPr>
      <w:r>
        <w:rPr>
          <w:sz w:val="24"/>
        </w:rPr>
        <w:t>a lack of procedural justice</w:t>
      </w:r>
      <w:r>
        <w:rPr>
          <w:sz w:val="24"/>
        </w:rPr>
        <w:t xml:space="preserve"> and/or trust in the project: situations where public participation procedures are designed and/or convened inappropriately (e.g., Raven et al., 2009: Walker et al.,</w:t>
      </w:r>
      <w:r>
        <w:rPr>
          <w:spacing w:val="-2"/>
          <w:sz w:val="24"/>
        </w:rPr>
        <w:t xml:space="preserve"> </w:t>
      </w:r>
      <w:r>
        <w:rPr>
          <w:sz w:val="24"/>
        </w:rPr>
        <w:t>2010),</w:t>
      </w:r>
    </w:p>
    <w:p w:rsidR="00C94252" w:rsidRDefault="00A33443">
      <w:pPr>
        <w:pStyle w:val="Listeavsnitt"/>
        <w:numPr>
          <w:ilvl w:val="3"/>
          <w:numId w:val="4"/>
        </w:numPr>
        <w:tabs>
          <w:tab w:val="left" w:pos="1196"/>
          <w:tab w:val="left" w:pos="1197"/>
        </w:tabs>
        <w:spacing w:before="166" w:line="259" w:lineRule="auto"/>
        <w:ind w:right="194"/>
        <w:rPr>
          <w:sz w:val="24"/>
        </w:rPr>
      </w:pPr>
      <w:r>
        <w:rPr>
          <w:sz w:val="24"/>
        </w:rPr>
        <w:t>a</w:t>
      </w:r>
      <w:r>
        <w:rPr>
          <w:spacing w:val="-7"/>
          <w:sz w:val="24"/>
        </w:rPr>
        <w:t xml:space="preserve"> </w:t>
      </w:r>
      <w:r>
        <w:rPr>
          <w:sz w:val="24"/>
        </w:rPr>
        <w:t>lack</w:t>
      </w:r>
      <w:r>
        <w:rPr>
          <w:spacing w:val="-4"/>
          <w:sz w:val="24"/>
        </w:rPr>
        <w:t xml:space="preserve"> </w:t>
      </w:r>
      <w:r>
        <w:rPr>
          <w:sz w:val="24"/>
        </w:rPr>
        <w:t>of</w:t>
      </w:r>
      <w:r>
        <w:rPr>
          <w:spacing w:val="-6"/>
          <w:sz w:val="24"/>
        </w:rPr>
        <w:t xml:space="preserve"> </w:t>
      </w:r>
      <w:r>
        <w:rPr>
          <w:sz w:val="24"/>
        </w:rPr>
        <w:t>social</w:t>
      </w:r>
      <w:r>
        <w:rPr>
          <w:spacing w:val="-5"/>
          <w:sz w:val="24"/>
        </w:rPr>
        <w:t xml:space="preserve"> </w:t>
      </w:r>
      <w:r>
        <w:rPr>
          <w:sz w:val="24"/>
        </w:rPr>
        <w:t>justice:</w:t>
      </w:r>
      <w:r>
        <w:rPr>
          <w:spacing w:val="-4"/>
          <w:sz w:val="24"/>
        </w:rPr>
        <w:t xml:space="preserve"> </w:t>
      </w:r>
      <w:r>
        <w:rPr>
          <w:sz w:val="24"/>
        </w:rPr>
        <w:t>situations</w:t>
      </w:r>
      <w:r>
        <w:rPr>
          <w:spacing w:val="-5"/>
          <w:sz w:val="24"/>
        </w:rPr>
        <w:t xml:space="preserve"> </w:t>
      </w:r>
      <w:r>
        <w:rPr>
          <w:sz w:val="24"/>
        </w:rPr>
        <w:t>where</w:t>
      </w:r>
      <w:r>
        <w:rPr>
          <w:spacing w:val="-4"/>
          <w:sz w:val="24"/>
        </w:rPr>
        <w:t xml:space="preserve"> </w:t>
      </w:r>
      <w:r>
        <w:rPr>
          <w:sz w:val="24"/>
        </w:rPr>
        <w:t>costs</w:t>
      </w:r>
      <w:r>
        <w:rPr>
          <w:spacing w:val="-2"/>
          <w:sz w:val="24"/>
        </w:rPr>
        <w:t xml:space="preserve"> </w:t>
      </w:r>
      <w:r>
        <w:rPr>
          <w:sz w:val="24"/>
        </w:rPr>
        <w:t>and</w:t>
      </w:r>
      <w:r>
        <w:rPr>
          <w:spacing w:val="-3"/>
          <w:sz w:val="24"/>
        </w:rPr>
        <w:t xml:space="preserve"> </w:t>
      </w:r>
      <w:r>
        <w:rPr>
          <w:sz w:val="24"/>
        </w:rPr>
        <w:t>benefits</w:t>
      </w:r>
      <w:r>
        <w:rPr>
          <w:spacing w:val="-6"/>
          <w:sz w:val="24"/>
        </w:rPr>
        <w:t xml:space="preserve"> </w:t>
      </w:r>
      <w:r>
        <w:rPr>
          <w:sz w:val="24"/>
        </w:rPr>
        <w:t>are</w:t>
      </w:r>
      <w:r>
        <w:rPr>
          <w:spacing w:val="-7"/>
          <w:sz w:val="24"/>
        </w:rPr>
        <w:t xml:space="preserve"> </w:t>
      </w:r>
      <w:r>
        <w:rPr>
          <w:sz w:val="24"/>
        </w:rPr>
        <w:t>not</w:t>
      </w:r>
      <w:r>
        <w:rPr>
          <w:spacing w:val="-3"/>
          <w:sz w:val="24"/>
        </w:rPr>
        <w:t xml:space="preserve"> </w:t>
      </w:r>
      <w:r>
        <w:rPr>
          <w:sz w:val="24"/>
        </w:rPr>
        <w:t>allocated</w:t>
      </w:r>
      <w:r>
        <w:rPr>
          <w:spacing w:val="-3"/>
          <w:sz w:val="24"/>
        </w:rPr>
        <w:t xml:space="preserve"> </w:t>
      </w:r>
      <w:r>
        <w:rPr>
          <w:sz w:val="24"/>
        </w:rPr>
        <w:t>in</w:t>
      </w:r>
      <w:r>
        <w:rPr>
          <w:spacing w:val="-5"/>
          <w:sz w:val="24"/>
        </w:rPr>
        <w:t xml:space="preserve"> </w:t>
      </w:r>
      <w:r>
        <w:rPr>
          <w:sz w:val="24"/>
        </w:rPr>
        <w:t>a</w:t>
      </w:r>
      <w:r>
        <w:rPr>
          <w:spacing w:val="-7"/>
          <w:sz w:val="24"/>
        </w:rPr>
        <w:t xml:space="preserve"> </w:t>
      </w:r>
      <w:r>
        <w:rPr>
          <w:sz w:val="24"/>
        </w:rPr>
        <w:t>fair way (see, e.g., Zoellner et al., 2008; Cowell,</w:t>
      </w:r>
      <w:r>
        <w:rPr>
          <w:spacing w:val="-4"/>
          <w:sz w:val="24"/>
        </w:rPr>
        <w:t xml:space="preserve"> </w:t>
      </w:r>
      <w:r>
        <w:rPr>
          <w:sz w:val="24"/>
        </w:rPr>
        <w:t>2010),</w:t>
      </w:r>
    </w:p>
    <w:p w:rsidR="00C94252" w:rsidRDefault="00A33443">
      <w:pPr>
        <w:pStyle w:val="Listeavsnitt"/>
        <w:numPr>
          <w:ilvl w:val="3"/>
          <w:numId w:val="4"/>
        </w:numPr>
        <w:tabs>
          <w:tab w:val="left" w:pos="1196"/>
          <w:tab w:val="left" w:pos="1197"/>
        </w:tabs>
        <w:spacing w:before="157" w:line="259" w:lineRule="auto"/>
        <w:ind w:right="194"/>
        <w:rPr>
          <w:sz w:val="24"/>
        </w:rPr>
      </w:pPr>
      <w:r>
        <w:rPr>
          <w:sz w:val="24"/>
        </w:rPr>
        <w:t>concerns about local image: occasions when the reputation of a place is perceived as being negatively affected (e.g., Michel et al.,</w:t>
      </w:r>
      <w:r>
        <w:rPr>
          <w:spacing w:val="-2"/>
          <w:sz w:val="24"/>
        </w:rPr>
        <w:t xml:space="preserve"> </w:t>
      </w:r>
      <w:r>
        <w:rPr>
          <w:sz w:val="24"/>
        </w:rPr>
        <w:t>2015),</w:t>
      </w:r>
    </w:p>
    <w:p w:rsidR="00C94252" w:rsidRDefault="00A33443">
      <w:pPr>
        <w:pStyle w:val="Listeavsnitt"/>
        <w:numPr>
          <w:ilvl w:val="3"/>
          <w:numId w:val="4"/>
        </w:numPr>
        <w:tabs>
          <w:tab w:val="left" w:pos="1196"/>
          <w:tab w:val="left" w:pos="1197"/>
        </w:tabs>
        <w:spacing w:before="158" w:line="259" w:lineRule="auto"/>
        <w:ind w:right="194"/>
        <w:rPr>
          <w:sz w:val="24"/>
        </w:rPr>
      </w:pPr>
      <w:r>
        <w:rPr>
          <w:sz w:val="24"/>
        </w:rPr>
        <w:t xml:space="preserve">perceived encroachment into landscape: negative visual </w:t>
      </w:r>
      <w:r>
        <w:rPr>
          <w:sz w:val="24"/>
        </w:rPr>
        <w:t>impacts of wind parks on landscape (e.g., Pasqualetti,</w:t>
      </w:r>
      <w:r>
        <w:rPr>
          <w:spacing w:val="1"/>
          <w:sz w:val="24"/>
        </w:rPr>
        <w:t xml:space="preserve"> </w:t>
      </w:r>
      <w:r>
        <w:rPr>
          <w:sz w:val="24"/>
        </w:rPr>
        <w:t>2011),</w:t>
      </w:r>
    </w:p>
    <w:p w:rsidR="00C94252" w:rsidRDefault="00A33443">
      <w:pPr>
        <w:pStyle w:val="Listeavsnitt"/>
        <w:numPr>
          <w:ilvl w:val="3"/>
          <w:numId w:val="4"/>
        </w:numPr>
        <w:tabs>
          <w:tab w:val="left" w:pos="1196"/>
          <w:tab w:val="left" w:pos="1197"/>
        </w:tabs>
        <w:spacing w:before="157" w:line="259" w:lineRule="auto"/>
        <w:ind w:right="194"/>
        <w:rPr>
          <w:sz w:val="24"/>
        </w:rPr>
      </w:pPr>
      <w:r>
        <w:rPr>
          <w:sz w:val="24"/>
        </w:rPr>
        <w:t>negative environmental impacts: adverse impacts on biodiversity, such as bird collisions with turbines (e.g., Dai et al.</w:t>
      </w:r>
      <w:r>
        <w:rPr>
          <w:spacing w:val="1"/>
          <w:sz w:val="24"/>
        </w:rPr>
        <w:t xml:space="preserve"> </w:t>
      </w:r>
      <w:r>
        <w:rPr>
          <w:sz w:val="24"/>
        </w:rPr>
        <w:t>2015),</w:t>
      </w:r>
    </w:p>
    <w:p w:rsidR="00C94252" w:rsidRDefault="00A33443">
      <w:pPr>
        <w:pStyle w:val="Listeavsnitt"/>
        <w:numPr>
          <w:ilvl w:val="3"/>
          <w:numId w:val="4"/>
        </w:numPr>
        <w:tabs>
          <w:tab w:val="left" w:pos="1196"/>
          <w:tab w:val="left" w:pos="1197"/>
        </w:tabs>
        <w:spacing w:before="157" w:line="259" w:lineRule="auto"/>
        <w:ind w:right="195"/>
        <w:rPr>
          <w:sz w:val="24"/>
        </w:rPr>
      </w:pPr>
      <w:r>
        <w:rPr>
          <w:sz w:val="24"/>
        </w:rPr>
        <w:t>negative</w:t>
      </w:r>
      <w:r>
        <w:rPr>
          <w:spacing w:val="-6"/>
          <w:sz w:val="24"/>
        </w:rPr>
        <w:t xml:space="preserve"> </w:t>
      </w:r>
      <w:r>
        <w:rPr>
          <w:sz w:val="24"/>
        </w:rPr>
        <w:t>external</w:t>
      </w:r>
      <w:r>
        <w:rPr>
          <w:spacing w:val="-4"/>
          <w:sz w:val="24"/>
        </w:rPr>
        <w:t xml:space="preserve"> </w:t>
      </w:r>
      <w:r>
        <w:rPr>
          <w:sz w:val="24"/>
        </w:rPr>
        <w:t>influence:</w:t>
      </w:r>
      <w:r>
        <w:rPr>
          <w:spacing w:val="-5"/>
          <w:sz w:val="24"/>
        </w:rPr>
        <w:t xml:space="preserve"> </w:t>
      </w:r>
      <w:r>
        <w:rPr>
          <w:sz w:val="24"/>
        </w:rPr>
        <w:t>local</w:t>
      </w:r>
      <w:r>
        <w:rPr>
          <w:spacing w:val="-2"/>
          <w:sz w:val="24"/>
        </w:rPr>
        <w:t xml:space="preserve"> </w:t>
      </w:r>
      <w:r>
        <w:rPr>
          <w:sz w:val="24"/>
        </w:rPr>
        <w:t>autonomy</w:t>
      </w:r>
      <w:r>
        <w:rPr>
          <w:spacing w:val="-9"/>
          <w:sz w:val="24"/>
        </w:rPr>
        <w:t xml:space="preserve"> </w:t>
      </w:r>
      <w:r>
        <w:rPr>
          <w:sz w:val="24"/>
        </w:rPr>
        <w:t>affected</w:t>
      </w:r>
      <w:r>
        <w:rPr>
          <w:spacing w:val="-5"/>
          <w:sz w:val="24"/>
        </w:rPr>
        <w:t xml:space="preserve"> </w:t>
      </w:r>
      <w:r>
        <w:rPr>
          <w:sz w:val="24"/>
        </w:rPr>
        <w:t>by</w:t>
      </w:r>
      <w:r>
        <w:rPr>
          <w:spacing w:val="-10"/>
          <w:sz w:val="24"/>
        </w:rPr>
        <w:t xml:space="preserve"> </w:t>
      </w:r>
      <w:r>
        <w:rPr>
          <w:sz w:val="24"/>
        </w:rPr>
        <w:t>actor(s)</w:t>
      </w:r>
      <w:r>
        <w:rPr>
          <w:spacing w:val="-3"/>
          <w:sz w:val="24"/>
        </w:rPr>
        <w:t xml:space="preserve"> </w:t>
      </w:r>
      <w:r>
        <w:rPr>
          <w:sz w:val="24"/>
        </w:rPr>
        <w:t>o</w:t>
      </w:r>
      <w:r>
        <w:rPr>
          <w:sz w:val="24"/>
        </w:rPr>
        <w:t>utside</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local context (e.g., Simcock, 2016).</w:t>
      </w:r>
    </w:p>
    <w:p w:rsidR="00C94252" w:rsidRDefault="00C94252">
      <w:pPr>
        <w:pStyle w:val="Brdtekst"/>
        <w:spacing w:before="8"/>
        <w:rPr>
          <w:sz w:val="37"/>
        </w:rPr>
      </w:pPr>
    </w:p>
    <w:p w:rsidR="00C94252" w:rsidRDefault="00A33443">
      <w:pPr>
        <w:pStyle w:val="Listeavsnitt"/>
        <w:numPr>
          <w:ilvl w:val="2"/>
          <w:numId w:val="4"/>
        </w:numPr>
        <w:tabs>
          <w:tab w:val="left" w:pos="837"/>
        </w:tabs>
        <w:spacing w:before="1" w:line="259" w:lineRule="auto"/>
        <w:ind w:right="192"/>
        <w:jc w:val="both"/>
        <w:rPr>
          <w:sz w:val="24"/>
        </w:rPr>
      </w:pPr>
      <w:r>
        <w:rPr>
          <w:sz w:val="24"/>
        </w:rPr>
        <w:t xml:space="preserve">Strategic planning is a general approach for guiding wind energy development (e.g., Simão et al., 2009; Cowell, 2010). </w:t>
      </w:r>
      <w:r>
        <w:rPr>
          <w:spacing w:val="-3"/>
          <w:sz w:val="24"/>
        </w:rPr>
        <w:t xml:space="preserve">It </w:t>
      </w:r>
      <w:r>
        <w:rPr>
          <w:sz w:val="24"/>
        </w:rPr>
        <w:t>can include different tools and forms, such as requirements for setting target amo</w:t>
      </w:r>
      <w:r>
        <w:rPr>
          <w:sz w:val="24"/>
        </w:rPr>
        <w:t>unts of wind energy or defining priority areas for wind park development. Communication, public and stakeholder participation are important components of strategic planning that support social acceptance of wind energy development (Phylip-Jones and Fischer</w:t>
      </w:r>
      <w:r>
        <w:rPr>
          <w:sz w:val="24"/>
        </w:rPr>
        <w:t>, 2015). Questions related to strategic planning</w:t>
      </w:r>
      <w:r>
        <w:rPr>
          <w:spacing w:val="-3"/>
          <w:sz w:val="24"/>
        </w:rPr>
        <w:t xml:space="preserve"> </w:t>
      </w:r>
      <w:r>
        <w:rPr>
          <w:sz w:val="24"/>
        </w:rPr>
        <w:t>concern:</w:t>
      </w:r>
    </w:p>
    <w:p w:rsidR="00C94252" w:rsidRDefault="00A33443">
      <w:pPr>
        <w:pStyle w:val="Listeavsnitt"/>
        <w:numPr>
          <w:ilvl w:val="3"/>
          <w:numId w:val="4"/>
        </w:numPr>
        <w:tabs>
          <w:tab w:val="left" w:pos="1196"/>
          <w:tab w:val="left" w:pos="1197"/>
        </w:tabs>
        <w:spacing w:before="159"/>
        <w:rPr>
          <w:sz w:val="24"/>
        </w:rPr>
      </w:pPr>
      <w:r>
        <w:rPr>
          <w:sz w:val="24"/>
        </w:rPr>
        <w:t>expert perceptions about forms of strategic planning of wind energy</w:t>
      </w:r>
      <w:r>
        <w:rPr>
          <w:spacing w:val="-5"/>
          <w:sz w:val="24"/>
        </w:rPr>
        <w:t xml:space="preserve"> </w:t>
      </w:r>
      <w:r>
        <w:rPr>
          <w:sz w:val="24"/>
        </w:rPr>
        <w:t>(Q6);</w:t>
      </w:r>
    </w:p>
    <w:p w:rsidR="00C94252" w:rsidRDefault="00A33443">
      <w:pPr>
        <w:pStyle w:val="Listeavsnitt"/>
        <w:numPr>
          <w:ilvl w:val="3"/>
          <w:numId w:val="4"/>
        </w:numPr>
        <w:tabs>
          <w:tab w:val="left" w:pos="1196"/>
          <w:tab w:val="left" w:pos="1197"/>
        </w:tabs>
        <w:spacing w:before="181"/>
        <w:rPr>
          <w:sz w:val="24"/>
        </w:rPr>
      </w:pPr>
      <w:r>
        <w:rPr>
          <w:sz w:val="24"/>
        </w:rPr>
        <w:t>quality of communication (Q8);</w:t>
      </w:r>
      <w:r>
        <w:rPr>
          <w:spacing w:val="-7"/>
          <w:sz w:val="24"/>
        </w:rPr>
        <w:t xml:space="preserve"> </w:t>
      </w:r>
      <w:r>
        <w:rPr>
          <w:sz w:val="24"/>
        </w:rPr>
        <w:t>and</w:t>
      </w:r>
    </w:p>
    <w:p w:rsidR="00C94252" w:rsidRDefault="00A33443">
      <w:pPr>
        <w:pStyle w:val="Listeavsnitt"/>
        <w:numPr>
          <w:ilvl w:val="3"/>
          <w:numId w:val="4"/>
        </w:numPr>
        <w:tabs>
          <w:tab w:val="left" w:pos="1196"/>
          <w:tab w:val="left" w:pos="1197"/>
        </w:tabs>
        <w:spacing w:before="182"/>
        <w:rPr>
          <w:sz w:val="24"/>
        </w:rPr>
      </w:pPr>
      <w:r>
        <w:rPr>
          <w:sz w:val="24"/>
        </w:rPr>
        <w:t>actor involvement in the planning of priority areas (Q9; 10; 11;</w:t>
      </w:r>
      <w:r>
        <w:rPr>
          <w:spacing w:val="-5"/>
          <w:sz w:val="24"/>
        </w:rPr>
        <w:t xml:space="preserve"> </w:t>
      </w:r>
      <w:r>
        <w:rPr>
          <w:sz w:val="24"/>
        </w:rPr>
        <w:t>12).</w:t>
      </w:r>
    </w:p>
    <w:p w:rsidR="00C94252" w:rsidRDefault="00C94252">
      <w:pPr>
        <w:pStyle w:val="Brdtekst"/>
        <w:spacing w:before="9"/>
        <w:rPr>
          <w:sz w:val="39"/>
        </w:rPr>
      </w:pPr>
    </w:p>
    <w:p w:rsidR="00C94252" w:rsidRDefault="00A33443">
      <w:pPr>
        <w:pStyle w:val="Listeavsnitt"/>
        <w:numPr>
          <w:ilvl w:val="2"/>
          <w:numId w:val="4"/>
        </w:numPr>
        <w:tabs>
          <w:tab w:val="left" w:pos="837"/>
        </w:tabs>
        <w:spacing w:line="259" w:lineRule="auto"/>
        <w:ind w:right="192"/>
        <w:jc w:val="both"/>
        <w:rPr>
          <w:sz w:val="24"/>
        </w:rPr>
      </w:pPr>
      <w:r>
        <w:rPr>
          <w:sz w:val="24"/>
        </w:rPr>
        <w:t xml:space="preserve">Local planning includes aspects of wind energy planning taking place at sub-national levels. Existing literature suggests that communication and involvement of different actors is of key importance in determining the acceptance of wind energy at the local </w:t>
      </w:r>
      <w:r>
        <w:rPr>
          <w:sz w:val="24"/>
        </w:rPr>
        <w:t>level (e.g., Raven et al., 2009; Aitken, 2010; Aitken et al., 2016). Yet, the exact relevance and dimensions of participation are still debated. The questions focussing on local planning are related</w:t>
      </w:r>
      <w:r>
        <w:rPr>
          <w:spacing w:val="2"/>
          <w:sz w:val="24"/>
        </w:rPr>
        <w:t xml:space="preserve"> </w:t>
      </w:r>
      <w:r>
        <w:rPr>
          <w:sz w:val="24"/>
        </w:rPr>
        <w:t>to:</w:t>
      </w:r>
    </w:p>
    <w:p w:rsidR="00C94252" w:rsidRDefault="00A33443">
      <w:pPr>
        <w:pStyle w:val="Listeavsnitt"/>
        <w:numPr>
          <w:ilvl w:val="3"/>
          <w:numId w:val="4"/>
        </w:numPr>
        <w:tabs>
          <w:tab w:val="left" w:pos="1196"/>
          <w:tab w:val="left" w:pos="1197"/>
        </w:tabs>
        <w:spacing w:before="158"/>
        <w:rPr>
          <w:sz w:val="24"/>
        </w:rPr>
      </w:pPr>
      <w:r>
        <w:rPr>
          <w:sz w:val="24"/>
        </w:rPr>
        <w:t>perceptions on the quality of communication and delib</w:t>
      </w:r>
      <w:r>
        <w:rPr>
          <w:sz w:val="24"/>
        </w:rPr>
        <w:t>eration (Q19; 21;</w:t>
      </w:r>
      <w:r>
        <w:rPr>
          <w:spacing w:val="-3"/>
          <w:sz w:val="24"/>
        </w:rPr>
        <w:t xml:space="preserve"> </w:t>
      </w:r>
      <w:r>
        <w:rPr>
          <w:sz w:val="24"/>
        </w:rPr>
        <w:t>23);</w:t>
      </w:r>
    </w:p>
    <w:p w:rsidR="00C94252" w:rsidRDefault="00C94252">
      <w:pPr>
        <w:rPr>
          <w:sz w:val="24"/>
        </w:rPr>
        <w:sectPr w:rsidR="00C94252">
          <w:pgSz w:w="11900" w:h="16850"/>
          <w:pgMar w:top="1200" w:right="1220" w:bottom="940" w:left="1300" w:header="0" w:footer="751" w:gutter="0"/>
          <w:cols w:space="708"/>
        </w:sectPr>
      </w:pPr>
    </w:p>
    <w:p w:rsidR="00C94252" w:rsidRDefault="00A33443">
      <w:pPr>
        <w:pStyle w:val="Listeavsnitt"/>
        <w:numPr>
          <w:ilvl w:val="3"/>
          <w:numId w:val="4"/>
        </w:numPr>
        <w:tabs>
          <w:tab w:val="left" w:pos="1196"/>
          <w:tab w:val="left" w:pos="1197"/>
        </w:tabs>
        <w:spacing w:before="90"/>
        <w:rPr>
          <w:sz w:val="24"/>
        </w:rPr>
      </w:pPr>
      <w:r>
        <w:rPr>
          <w:sz w:val="24"/>
        </w:rPr>
        <w:t>timeliness of communication</w:t>
      </w:r>
      <w:r>
        <w:rPr>
          <w:spacing w:val="-1"/>
          <w:sz w:val="24"/>
        </w:rPr>
        <w:t xml:space="preserve"> </w:t>
      </w:r>
      <w:r>
        <w:rPr>
          <w:sz w:val="24"/>
        </w:rPr>
        <w:t>(Q20);</w:t>
      </w:r>
    </w:p>
    <w:p w:rsidR="00C94252" w:rsidRDefault="00A33443">
      <w:pPr>
        <w:pStyle w:val="Listeavsnitt"/>
        <w:numPr>
          <w:ilvl w:val="3"/>
          <w:numId w:val="4"/>
        </w:numPr>
        <w:tabs>
          <w:tab w:val="left" w:pos="1196"/>
          <w:tab w:val="left" w:pos="1197"/>
        </w:tabs>
        <w:spacing w:before="181"/>
        <w:rPr>
          <w:sz w:val="24"/>
        </w:rPr>
      </w:pPr>
      <w:r>
        <w:rPr>
          <w:sz w:val="24"/>
        </w:rPr>
        <w:t>influence of specific actor groups on wind energy projects</w:t>
      </w:r>
      <w:r>
        <w:rPr>
          <w:spacing w:val="-5"/>
          <w:sz w:val="24"/>
        </w:rPr>
        <w:t xml:space="preserve"> </w:t>
      </w:r>
      <w:r>
        <w:rPr>
          <w:sz w:val="24"/>
        </w:rPr>
        <w:t>(Q22);</w:t>
      </w:r>
    </w:p>
    <w:p w:rsidR="00C94252" w:rsidRDefault="00A33443">
      <w:pPr>
        <w:pStyle w:val="Listeavsnitt"/>
        <w:numPr>
          <w:ilvl w:val="3"/>
          <w:numId w:val="4"/>
        </w:numPr>
        <w:tabs>
          <w:tab w:val="left" w:pos="1196"/>
          <w:tab w:val="left" w:pos="1197"/>
        </w:tabs>
        <w:spacing w:before="181"/>
        <w:rPr>
          <w:sz w:val="24"/>
        </w:rPr>
      </w:pPr>
      <w:r>
        <w:rPr>
          <w:sz w:val="24"/>
        </w:rPr>
        <w:t>influence of local actor groups on decision-making</w:t>
      </w:r>
      <w:r>
        <w:rPr>
          <w:spacing w:val="-4"/>
          <w:sz w:val="24"/>
        </w:rPr>
        <w:t xml:space="preserve"> </w:t>
      </w:r>
      <w:r>
        <w:rPr>
          <w:sz w:val="24"/>
        </w:rPr>
        <w:t>(Q24).</w:t>
      </w:r>
    </w:p>
    <w:p w:rsidR="00C94252" w:rsidRDefault="00C94252">
      <w:pPr>
        <w:pStyle w:val="Brdtekst"/>
        <w:spacing w:before="7"/>
        <w:rPr>
          <w:sz w:val="39"/>
        </w:rPr>
      </w:pPr>
    </w:p>
    <w:p w:rsidR="00C94252" w:rsidRDefault="00A33443">
      <w:pPr>
        <w:pStyle w:val="Listeavsnitt"/>
        <w:numPr>
          <w:ilvl w:val="2"/>
          <w:numId w:val="4"/>
        </w:numPr>
        <w:tabs>
          <w:tab w:val="left" w:pos="837"/>
        </w:tabs>
        <w:spacing w:line="259" w:lineRule="auto"/>
        <w:ind w:right="189"/>
        <w:jc w:val="both"/>
        <w:rPr>
          <w:sz w:val="24"/>
        </w:rPr>
      </w:pPr>
      <w:r>
        <w:rPr>
          <w:sz w:val="24"/>
        </w:rPr>
        <w:t>Contextual aspects include the socio-economic, politica</w:t>
      </w:r>
      <w:r>
        <w:rPr>
          <w:sz w:val="24"/>
        </w:rPr>
        <w:t>l and cultural context of wind energy planning, such as the culture of communication and patterns of government-led participation, as well as the ability of communities to self-organize through informal modes</w:t>
      </w:r>
      <w:r>
        <w:rPr>
          <w:spacing w:val="-12"/>
          <w:sz w:val="24"/>
        </w:rPr>
        <w:t xml:space="preserve"> </w:t>
      </w:r>
      <w:r>
        <w:rPr>
          <w:sz w:val="24"/>
        </w:rPr>
        <w:t>of</w:t>
      </w:r>
      <w:r>
        <w:rPr>
          <w:spacing w:val="-13"/>
          <w:sz w:val="24"/>
        </w:rPr>
        <w:t xml:space="preserve"> </w:t>
      </w:r>
      <w:r>
        <w:rPr>
          <w:sz w:val="24"/>
        </w:rPr>
        <w:t>participation</w:t>
      </w:r>
      <w:r>
        <w:rPr>
          <w:spacing w:val="-11"/>
          <w:sz w:val="24"/>
        </w:rPr>
        <w:t xml:space="preserve"> </w:t>
      </w:r>
      <w:r>
        <w:rPr>
          <w:sz w:val="24"/>
        </w:rPr>
        <w:t>(e.g.,</w:t>
      </w:r>
      <w:r>
        <w:rPr>
          <w:spacing w:val="-12"/>
          <w:sz w:val="24"/>
        </w:rPr>
        <w:t xml:space="preserve"> </w:t>
      </w:r>
      <w:r>
        <w:rPr>
          <w:sz w:val="24"/>
        </w:rPr>
        <w:t>Kontogianni</w:t>
      </w:r>
      <w:r>
        <w:rPr>
          <w:spacing w:val="-11"/>
          <w:sz w:val="24"/>
        </w:rPr>
        <w:t xml:space="preserve"> </w:t>
      </w:r>
      <w:r>
        <w:rPr>
          <w:sz w:val="24"/>
        </w:rPr>
        <w:t>et</w:t>
      </w:r>
      <w:r>
        <w:rPr>
          <w:spacing w:val="-12"/>
          <w:sz w:val="24"/>
        </w:rPr>
        <w:t xml:space="preserve"> </w:t>
      </w:r>
      <w:r>
        <w:rPr>
          <w:sz w:val="24"/>
        </w:rPr>
        <w:t>al.,</w:t>
      </w:r>
      <w:r>
        <w:rPr>
          <w:spacing w:val="-11"/>
          <w:sz w:val="24"/>
        </w:rPr>
        <w:t xml:space="preserve"> </w:t>
      </w:r>
      <w:r>
        <w:rPr>
          <w:sz w:val="24"/>
        </w:rPr>
        <w:t>201</w:t>
      </w:r>
      <w:r>
        <w:rPr>
          <w:sz w:val="24"/>
        </w:rPr>
        <w:t>4;</w:t>
      </w:r>
      <w:r>
        <w:rPr>
          <w:spacing w:val="-12"/>
          <w:sz w:val="24"/>
        </w:rPr>
        <w:t xml:space="preserve"> </w:t>
      </w:r>
      <w:r>
        <w:rPr>
          <w:sz w:val="24"/>
        </w:rPr>
        <w:t>Knieling</w:t>
      </w:r>
      <w:r>
        <w:rPr>
          <w:spacing w:val="-13"/>
          <w:sz w:val="24"/>
        </w:rPr>
        <w:t xml:space="preserve"> </w:t>
      </w:r>
      <w:r>
        <w:rPr>
          <w:sz w:val="24"/>
        </w:rPr>
        <w:t>and</w:t>
      </w:r>
      <w:r>
        <w:rPr>
          <w:spacing w:val="-12"/>
          <w:sz w:val="24"/>
        </w:rPr>
        <w:t xml:space="preserve"> </w:t>
      </w:r>
      <w:r>
        <w:rPr>
          <w:sz w:val="24"/>
        </w:rPr>
        <w:t>Othengrafen,</w:t>
      </w:r>
      <w:r>
        <w:rPr>
          <w:spacing w:val="-11"/>
          <w:sz w:val="24"/>
        </w:rPr>
        <w:t xml:space="preserve"> </w:t>
      </w:r>
      <w:r>
        <w:rPr>
          <w:sz w:val="24"/>
        </w:rPr>
        <w:t>2015). In Q16 respondents are asked about the relevance of different barriers for WE production.</w:t>
      </w:r>
    </w:p>
    <w:p w:rsidR="00C94252" w:rsidRDefault="00C94252">
      <w:pPr>
        <w:pStyle w:val="Brdtekst"/>
        <w:spacing w:before="8"/>
        <w:rPr>
          <w:sz w:val="31"/>
        </w:rPr>
      </w:pPr>
    </w:p>
    <w:p w:rsidR="00C94252" w:rsidRDefault="00A33443">
      <w:pPr>
        <w:pStyle w:val="Overskrift1"/>
        <w:numPr>
          <w:ilvl w:val="1"/>
          <w:numId w:val="4"/>
        </w:numPr>
        <w:tabs>
          <w:tab w:val="left" w:pos="478"/>
        </w:tabs>
        <w:jc w:val="both"/>
      </w:pPr>
      <w:r>
        <w:t>Questionnaire administration and sample</w:t>
      </w:r>
    </w:p>
    <w:p w:rsidR="00C94252" w:rsidRDefault="00A33443">
      <w:pPr>
        <w:pStyle w:val="Brdtekst"/>
        <w:spacing w:before="118" w:line="237" w:lineRule="auto"/>
        <w:ind w:left="116" w:right="189"/>
        <w:jc w:val="both"/>
      </w:pPr>
      <w:r>
        <w:t>The English language questionnaire consists primarily of closed-ended questions. An initi</w:t>
      </w:r>
      <w:r>
        <w:t>al draft of the questionnaire was pre-tested (internally) in early 2017 and revised according to</w:t>
      </w:r>
      <w:r>
        <w:rPr>
          <w:spacing w:val="-37"/>
        </w:rPr>
        <w:t xml:space="preserve"> </w:t>
      </w:r>
      <w:r>
        <w:t>the responses and comments received. The questionnaire was available online from 11</w:t>
      </w:r>
      <w:r>
        <w:rPr>
          <w:position w:val="9"/>
          <w:sz w:val="16"/>
        </w:rPr>
        <w:t xml:space="preserve">th </w:t>
      </w:r>
      <w:r>
        <w:t>of May until 31</w:t>
      </w:r>
      <w:r>
        <w:rPr>
          <w:position w:val="9"/>
          <w:sz w:val="16"/>
        </w:rPr>
        <w:t xml:space="preserve">st </w:t>
      </w:r>
      <w:r>
        <w:t>of August 2017 with reminders being sent in July and Au</w:t>
      </w:r>
      <w:r>
        <w:t xml:space="preserve">gust. The survey was administered by distributing the link to the online questionnaire to two target groups of respondents: (1) the members of COST Action TU1401, covering 37 countries, and (2) </w:t>
      </w:r>
      <w:r>
        <w:rPr>
          <w:spacing w:val="3"/>
        </w:rPr>
        <w:t xml:space="preserve">RE </w:t>
      </w:r>
      <w:r>
        <w:t>experts outside the Action, in particular representatives o</w:t>
      </w:r>
      <w:r>
        <w:t>f all national associations associated to the organization Wind Energy Europe, as well as other national contact points. The COST network consists of more than 200 individuals from academic, governmental, and non- governmental institutions. The COST Action</w:t>
      </w:r>
      <w:r>
        <w:t xml:space="preserve"> members generally have either backgrounds in geography and related fields (e.g. landscape planning and architecture) or environmental sciences (e.g., science and technology studies, application of different RE technologies). The representatives of nationa</w:t>
      </w:r>
      <w:r>
        <w:t>l wind energy associations are predominantly associated with technical disciplines (engineers,</w:t>
      </w:r>
      <w:r>
        <w:rPr>
          <w:spacing w:val="-1"/>
        </w:rPr>
        <w:t xml:space="preserve"> </w:t>
      </w:r>
      <w:r>
        <w:t>planners).</w:t>
      </w:r>
    </w:p>
    <w:p w:rsidR="00C94252" w:rsidRDefault="00A33443">
      <w:pPr>
        <w:pStyle w:val="Brdtekst"/>
        <w:spacing w:before="167"/>
        <w:ind w:left="116" w:right="190"/>
        <w:jc w:val="both"/>
      </w:pPr>
      <w:r>
        <w:t>The target size of the sample was a minimum of two expert responses per country. The</w:t>
      </w:r>
      <w:r>
        <w:rPr>
          <w:spacing w:val="-32"/>
        </w:rPr>
        <w:t xml:space="preserve"> </w:t>
      </w:r>
      <w:r>
        <w:t>sample was not compulsory to be representative for the entire cou</w:t>
      </w:r>
      <w:r>
        <w:t xml:space="preserve">ntry, as we did not aim to compare results between single countries. We nevertheless assumed that the respondents were representative of persons who are knowledgeable of the WE planning situation in their countries. In capturing the answers from different </w:t>
      </w:r>
      <w:r>
        <w:t>countries, we also aimed for pan-European coverage. Altogether, we received 108 responses from 33 countries: including EU-28 as well as EU-candidate and adjacent countries (plus Israel). Most countries were represented with at least two responses; however,</w:t>
      </w:r>
      <w:r>
        <w:t xml:space="preserve"> only one response was received from BA, IL, LT, PT, RS, SK, and SE. One of the respondents did not indicate their country. To guarantee an approximately equal distribution of responses, when grouping countries into regions (as outlined in Section 2.3),</w:t>
      </w:r>
      <w:r>
        <w:rPr>
          <w:spacing w:val="-14"/>
        </w:rPr>
        <w:t xml:space="preserve"> </w:t>
      </w:r>
      <w:r>
        <w:t>we</w:t>
      </w:r>
      <w:r>
        <w:rPr>
          <w:spacing w:val="-13"/>
        </w:rPr>
        <w:t xml:space="preserve"> </w:t>
      </w:r>
      <w:r>
        <w:t>also</w:t>
      </w:r>
      <w:r>
        <w:rPr>
          <w:spacing w:val="-13"/>
        </w:rPr>
        <w:t xml:space="preserve"> </w:t>
      </w:r>
      <w:r>
        <w:t>took</w:t>
      </w:r>
      <w:r>
        <w:rPr>
          <w:spacing w:val="-12"/>
        </w:rPr>
        <w:t xml:space="preserve"> </w:t>
      </w:r>
      <w:r>
        <w:t>into</w:t>
      </w:r>
      <w:r>
        <w:rPr>
          <w:spacing w:val="-13"/>
        </w:rPr>
        <w:t xml:space="preserve"> </w:t>
      </w:r>
      <w:r>
        <w:t>account</w:t>
      </w:r>
      <w:r>
        <w:rPr>
          <w:spacing w:val="-11"/>
        </w:rPr>
        <w:t xml:space="preserve"> </w:t>
      </w:r>
      <w:r>
        <w:t>the</w:t>
      </w:r>
      <w:r>
        <w:rPr>
          <w:spacing w:val="-14"/>
        </w:rPr>
        <w:t xml:space="preserve"> </w:t>
      </w:r>
      <w:r>
        <w:t>total</w:t>
      </w:r>
      <w:r>
        <w:rPr>
          <w:spacing w:val="-12"/>
        </w:rPr>
        <w:t xml:space="preserve"> </w:t>
      </w:r>
      <w:r>
        <w:t>number</w:t>
      </w:r>
      <w:r>
        <w:rPr>
          <w:spacing w:val="-15"/>
        </w:rPr>
        <w:t xml:space="preserve"> </w:t>
      </w:r>
      <w:r>
        <w:t>of</w:t>
      </w:r>
      <w:r>
        <w:rPr>
          <w:spacing w:val="-13"/>
        </w:rPr>
        <w:t xml:space="preserve"> </w:t>
      </w:r>
      <w:r>
        <w:t>responses</w:t>
      </w:r>
      <w:r>
        <w:rPr>
          <w:spacing w:val="-13"/>
        </w:rPr>
        <w:t xml:space="preserve"> </w:t>
      </w:r>
      <w:r>
        <w:t>received.</w:t>
      </w:r>
      <w:r>
        <w:rPr>
          <w:spacing w:val="-13"/>
        </w:rPr>
        <w:t xml:space="preserve"> </w:t>
      </w:r>
      <w:r>
        <w:t>The</w:t>
      </w:r>
      <w:r>
        <w:rPr>
          <w:spacing w:val="-14"/>
        </w:rPr>
        <w:t xml:space="preserve"> </w:t>
      </w:r>
      <w:r>
        <w:t>number</w:t>
      </w:r>
      <w:r>
        <w:rPr>
          <w:spacing w:val="-13"/>
        </w:rPr>
        <w:t xml:space="preserve"> </w:t>
      </w:r>
      <w:r>
        <w:t>of</w:t>
      </w:r>
      <w:r>
        <w:rPr>
          <w:spacing w:val="-14"/>
        </w:rPr>
        <w:t xml:space="preserve"> </w:t>
      </w:r>
      <w:r>
        <w:t>responses per</w:t>
      </w:r>
      <w:r>
        <w:rPr>
          <w:spacing w:val="-6"/>
        </w:rPr>
        <w:t xml:space="preserve"> </w:t>
      </w:r>
      <w:r>
        <w:t>large</w:t>
      </w:r>
      <w:r>
        <w:rPr>
          <w:spacing w:val="-5"/>
        </w:rPr>
        <w:t xml:space="preserve"> </w:t>
      </w:r>
      <w:r>
        <w:t>region</w:t>
      </w:r>
      <w:r>
        <w:rPr>
          <w:spacing w:val="-3"/>
        </w:rPr>
        <w:t xml:space="preserve"> </w:t>
      </w:r>
      <w:r>
        <w:t>is</w:t>
      </w:r>
      <w:r>
        <w:rPr>
          <w:spacing w:val="-4"/>
        </w:rPr>
        <w:t xml:space="preserve"> </w:t>
      </w:r>
      <w:r>
        <w:t>approximately</w:t>
      </w:r>
      <w:r>
        <w:rPr>
          <w:spacing w:val="-8"/>
        </w:rPr>
        <w:t xml:space="preserve"> </w:t>
      </w:r>
      <w:r>
        <w:t>10,</w:t>
      </w:r>
      <w:r>
        <w:rPr>
          <w:spacing w:val="-4"/>
        </w:rPr>
        <w:t xml:space="preserve"> </w:t>
      </w:r>
      <w:r>
        <w:t>which</w:t>
      </w:r>
      <w:r>
        <w:rPr>
          <w:spacing w:val="-4"/>
        </w:rPr>
        <w:t xml:space="preserve"> </w:t>
      </w:r>
      <w:r>
        <w:t>is</w:t>
      </w:r>
      <w:r>
        <w:rPr>
          <w:spacing w:val="-4"/>
        </w:rPr>
        <w:t xml:space="preserve"> </w:t>
      </w:r>
      <w:r>
        <w:t>sufficient</w:t>
      </w:r>
      <w:r>
        <w:rPr>
          <w:spacing w:val="-3"/>
        </w:rPr>
        <w:t xml:space="preserve"> </w:t>
      </w:r>
      <w:r>
        <w:t>given</w:t>
      </w:r>
      <w:r>
        <w:rPr>
          <w:spacing w:val="-5"/>
        </w:rPr>
        <w:t xml:space="preserve"> </w:t>
      </w:r>
      <w:r>
        <w:t>that</w:t>
      </w:r>
      <w:r>
        <w:rPr>
          <w:spacing w:val="-4"/>
        </w:rPr>
        <w:t xml:space="preserve"> </w:t>
      </w:r>
      <w:r>
        <w:t>it</w:t>
      </w:r>
      <w:r>
        <w:rPr>
          <w:spacing w:val="-3"/>
        </w:rPr>
        <w:t xml:space="preserve"> </w:t>
      </w:r>
      <w:r>
        <w:t>is</w:t>
      </w:r>
      <w:r>
        <w:rPr>
          <w:spacing w:val="-4"/>
        </w:rPr>
        <w:t xml:space="preserve"> </w:t>
      </w:r>
      <w:r>
        <w:t>an</w:t>
      </w:r>
      <w:r>
        <w:rPr>
          <w:spacing w:val="-5"/>
        </w:rPr>
        <w:t xml:space="preserve"> </w:t>
      </w:r>
      <w:r>
        <w:t>expert</w:t>
      </w:r>
      <w:r>
        <w:rPr>
          <w:spacing w:val="-3"/>
        </w:rPr>
        <w:t xml:space="preserve"> </w:t>
      </w:r>
      <w:r>
        <w:t>survey.</w:t>
      </w:r>
      <w:r>
        <w:rPr>
          <w:spacing w:val="-4"/>
        </w:rPr>
        <w:t xml:space="preserve"> </w:t>
      </w:r>
      <w:r>
        <w:t>Exact response rates per questions are indicated in Appendix</w:t>
      </w:r>
      <w:r>
        <w:rPr>
          <w:spacing w:val="-1"/>
        </w:rPr>
        <w:t xml:space="preserve"> </w:t>
      </w:r>
      <w:r>
        <w:t>B.</w:t>
      </w:r>
    </w:p>
    <w:p w:rsidR="00C94252" w:rsidRDefault="00C94252">
      <w:pPr>
        <w:pStyle w:val="Brdtekst"/>
        <w:spacing w:before="7"/>
        <w:rPr>
          <w:sz w:val="31"/>
        </w:rPr>
      </w:pPr>
    </w:p>
    <w:p w:rsidR="00C94252" w:rsidRDefault="00A33443">
      <w:pPr>
        <w:pStyle w:val="Overskrift1"/>
        <w:numPr>
          <w:ilvl w:val="1"/>
          <w:numId w:val="4"/>
        </w:numPr>
        <w:tabs>
          <w:tab w:val="left" w:pos="478"/>
        </w:tabs>
        <w:jc w:val="both"/>
      </w:pPr>
      <w:r>
        <w:t>Data</w:t>
      </w:r>
      <w:r>
        <w:rPr>
          <w:spacing w:val="-2"/>
        </w:rPr>
        <w:t xml:space="preserve"> </w:t>
      </w:r>
      <w:r>
        <w:t>analy</w:t>
      </w:r>
      <w:r>
        <w:t>sis</w:t>
      </w:r>
    </w:p>
    <w:p w:rsidR="00C94252" w:rsidRDefault="00A33443">
      <w:pPr>
        <w:pStyle w:val="Brdtekst"/>
        <w:spacing w:before="116"/>
        <w:ind w:left="116" w:right="190"/>
        <w:jc w:val="both"/>
      </w:pPr>
      <w:r>
        <w:t>Experts were asked to assess items according to a 5-point Likert scale, with 1 indicating the lowest</w:t>
      </w:r>
      <w:r>
        <w:rPr>
          <w:spacing w:val="-6"/>
        </w:rPr>
        <w:t xml:space="preserve"> </w:t>
      </w:r>
      <w:r>
        <w:t>and</w:t>
      </w:r>
      <w:r>
        <w:rPr>
          <w:spacing w:val="-5"/>
        </w:rPr>
        <w:t xml:space="preserve"> </w:t>
      </w:r>
      <w:r>
        <w:t>5</w:t>
      </w:r>
      <w:r>
        <w:rPr>
          <w:spacing w:val="-5"/>
        </w:rPr>
        <w:t xml:space="preserve"> </w:t>
      </w:r>
      <w:r>
        <w:t>indicating</w:t>
      </w:r>
      <w:r>
        <w:rPr>
          <w:spacing w:val="-7"/>
        </w:rPr>
        <w:t xml:space="preserve"> </w:t>
      </w:r>
      <w:r>
        <w:t>the</w:t>
      </w:r>
      <w:r>
        <w:rPr>
          <w:spacing w:val="-5"/>
        </w:rPr>
        <w:t xml:space="preserve"> </w:t>
      </w:r>
      <w:r>
        <w:t>highest</w:t>
      </w:r>
      <w:r>
        <w:rPr>
          <w:spacing w:val="-4"/>
        </w:rPr>
        <w:t xml:space="preserve"> </w:t>
      </w:r>
      <w:r>
        <w:t>value.</w:t>
      </w:r>
      <w:r>
        <w:rPr>
          <w:spacing w:val="-7"/>
        </w:rPr>
        <w:t xml:space="preserve"> </w:t>
      </w:r>
      <w:r>
        <w:t>Additionally,</w:t>
      </w:r>
      <w:r>
        <w:rPr>
          <w:spacing w:val="-4"/>
        </w:rPr>
        <w:t xml:space="preserve"> </w:t>
      </w:r>
      <w:r>
        <w:t>a</w:t>
      </w:r>
      <w:r>
        <w:rPr>
          <w:spacing w:val="-4"/>
        </w:rPr>
        <w:t xml:space="preserve"> </w:t>
      </w:r>
      <w:r>
        <w:t>0-option</w:t>
      </w:r>
      <w:r>
        <w:rPr>
          <w:spacing w:val="-5"/>
        </w:rPr>
        <w:t xml:space="preserve"> </w:t>
      </w:r>
      <w:r>
        <w:t>was</w:t>
      </w:r>
      <w:r>
        <w:rPr>
          <w:spacing w:val="-5"/>
        </w:rPr>
        <w:t xml:space="preserve"> </w:t>
      </w:r>
      <w:r>
        <w:t>provided</w:t>
      </w:r>
      <w:r>
        <w:rPr>
          <w:spacing w:val="-6"/>
        </w:rPr>
        <w:t xml:space="preserve"> </w:t>
      </w:r>
      <w:r>
        <w:t>for</w:t>
      </w:r>
      <w:r>
        <w:rPr>
          <w:spacing w:val="-7"/>
        </w:rPr>
        <w:t xml:space="preserve"> </w:t>
      </w:r>
      <w:r>
        <w:t>expressing an inability to assess that particular</w:t>
      </w:r>
      <w:r>
        <w:rPr>
          <w:spacing w:val="-4"/>
        </w:rPr>
        <w:t xml:space="preserve"> </w:t>
      </w:r>
      <w:r>
        <w:t>item.</w:t>
      </w:r>
    </w:p>
    <w:p w:rsidR="00C94252" w:rsidRDefault="00A33443">
      <w:pPr>
        <w:pStyle w:val="Brdtekst"/>
        <w:spacing w:before="160"/>
        <w:ind w:left="116" w:right="190"/>
        <w:jc w:val="both"/>
      </w:pPr>
      <w:r>
        <w:t>For analysing the results, we used the Statistical Program for Social Science (SPSS) v21 software. Regional differences were analysed by calculating ANOVA and conducting appropriate post-hoc tests. To explore reasons for resistance, we first conducted corr</w:t>
      </w:r>
      <w:r>
        <w:t>elation</w:t>
      </w:r>
    </w:p>
    <w:p w:rsidR="00C94252" w:rsidRDefault="00C94252">
      <w:pPr>
        <w:jc w:val="both"/>
        <w:sectPr w:rsidR="00C94252">
          <w:pgSz w:w="11900" w:h="16850"/>
          <w:pgMar w:top="1180" w:right="1220" w:bottom="940" w:left="1300" w:header="0" w:footer="751" w:gutter="0"/>
          <w:cols w:space="708"/>
        </w:sectPr>
      </w:pPr>
    </w:p>
    <w:p w:rsidR="00C94252" w:rsidRDefault="00A33443">
      <w:pPr>
        <w:pStyle w:val="Brdtekst"/>
        <w:spacing w:before="70"/>
        <w:ind w:left="116" w:right="192"/>
        <w:jc w:val="both"/>
      </w:pPr>
      <w:r>
        <w:t>analyses and then used multiple regression in order to detect the effect of planning quality on resistance issues while controlling for contextual characteristics (e.g., Sposato and Hampl, 2018).</w:t>
      </w:r>
    </w:p>
    <w:p w:rsidR="00C94252" w:rsidRDefault="00C94252">
      <w:pPr>
        <w:pStyle w:val="Brdtekst"/>
        <w:rPr>
          <w:sz w:val="26"/>
        </w:rPr>
      </w:pPr>
    </w:p>
    <w:p w:rsidR="00C94252" w:rsidRDefault="00C94252">
      <w:pPr>
        <w:pStyle w:val="Brdtekst"/>
        <w:spacing w:before="2"/>
        <w:rPr>
          <w:sz w:val="26"/>
        </w:rPr>
      </w:pPr>
    </w:p>
    <w:p w:rsidR="00C94252" w:rsidRDefault="00A33443">
      <w:pPr>
        <w:pStyle w:val="Overskrift1"/>
        <w:numPr>
          <w:ilvl w:val="0"/>
          <w:numId w:val="5"/>
        </w:numPr>
        <w:tabs>
          <w:tab w:val="left" w:pos="477"/>
        </w:tabs>
        <w:spacing w:before="1"/>
        <w:ind w:left="476"/>
      </w:pPr>
      <w:r>
        <w:t>Results</w:t>
      </w:r>
    </w:p>
    <w:p w:rsidR="00C94252" w:rsidRDefault="00C94252">
      <w:pPr>
        <w:pStyle w:val="Brdtekst"/>
        <w:spacing w:before="3"/>
        <w:rPr>
          <w:b/>
          <w:sz w:val="31"/>
        </w:rPr>
      </w:pPr>
    </w:p>
    <w:p w:rsidR="00C94252" w:rsidRDefault="00A33443">
      <w:pPr>
        <w:pStyle w:val="Listeavsnitt"/>
        <w:numPr>
          <w:ilvl w:val="1"/>
          <w:numId w:val="3"/>
        </w:numPr>
        <w:tabs>
          <w:tab w:val="left" w:pos="537"/>
        </w:tabs>
        <w:rPr>
          <w:b/>
          <w:sz w:val="24"/>
        </w:rPr>
      </w:pPr>
      <w:r>
        <w:rPr>
          <w:b/>
          <w:sz w:val="24"/>
        </w:rPr>
        <w:t>Relevance of reasons fo</w:t>
      </w:r>
      <w:r>
        <w:rPr>
          <w:b/>
          <w:sz w:val="24"/>
        </w:rPr>
        <w:t>r</w:t>
      </w:r>
      <w:r>
        <w:rPr>
          <w:b/>
          <w:spacing w:val="-2"/>
          <w:sz w:val="24"/>
        </w:rPr>
        <w:t xml:space="preserve"> </w:t>
      </w:r>
      <w:r>
        <w:rPr>
          <w:b/>
          <w:sz w:val="24"/>
        </w:rPr>
        <w:t>resistance</w:t>
      </w:r>
    </w:p>
    <w:p w:rsidR="00C94252" w:rsidRDefault="00A33443">
      <w:pPr>
        <w:spacing w:before="115"/>
        <w:ind w:left="116" w:right="193"/>
        <w:jc w:val="both"/>
        <w:rPr>
          <w:sz w:val="24"/>
        </w:rPr>
      </w:pPr>
      <w:r>
        <w:rPr>
          <w:sz w:val="24"/>
        </w:rPr>
        <w:t xml:space="preserve">The most relevant reasons for resistance against WE projects in Europe (full sample) were found to be </w:t>
      </w:r>
      <w:r>
        <w:rPr>
          <w:i/>
          <w:sz w:val="24"/>
        </w:rPr>
        <w:t>encroachment into landscape</w:t>
      </w:r>
      <w:r>
        <w:rPr>
          <w:sz w:val="24"/>
        </w:rPr>
        <w:t xml:space="preserve">, </w:t>
      </w:r>
      <w:r>
        <w:rPr>
          <w:i/>
          <w:sz w:val="24"/>
        </w:rPr>
        <w:t xml:space="preserve">lack of trust </w:t>
      </w:r>
      <w:r>
        <w:rPr>
          <w:sz w:val="24"/>
        </w:rPr>
        <w:t xml:space="preserve">and </w:t>
      </w:r>
      <w:r>
        <w:rPr>
          <w:i/>
          <w:sz w:val="24"/>
        </w:rPr>
        <w:t>environmental concerns</w:t>
      </w:r>
      <w:r>
        <w:rPr>
          <w:sz w:val="24"/>
        </w:rPr>
        <w:t>.</w:t>
      </w:r>
    </w:p>
    <w:p w:rsidR="00C94252" w:rsidRDefault="00A33443">
      <w:pPr>
        <w:spacing w:before="161"/>
        <w:ind w:left="116" w:right="188"/>
        <w:jc w:val="both"/>
        <w:rPr>
          <w:sz w:val="24"/>
        </w:rPr>
      </w:pPr>
      <w:r>
        <w:rPr>
          <w:sz w:val="24"/>
        </w:rPr>
        <w:t>The</w:t>
      </w:r>
      <w:r>
        <w:rPr>
          <w:spacing w:val="-10"/>
          <w:sz w:val="24"/>
        </w:rPr>
        <w:t xml:space="preserve"> </w:t>
      </w:r>
      <w:r>
        <w:rPr>
          <w:sz w:val="24"/>
        </w:rPr>
        <w:t>most</w:t>
      </w:r>
      <w:r>
        <w:rPr>
          <w:spacing w:val="-7"/>
          <w:sz w:val="24"/>
        </w:rPr>
        <w:t xml:space="preserve"> </w:t>
      </w:r>
      <w:r>
        <w:rPr>
          <w:sz w:val="24"/>
        </w:rPr>
        <w:t>significant</w:t>
      </w:r>
      <w:r>
        <w:rPr>
          <w:spacing w:val="-8"/>
          <w:sz w:val="24"/>
        </w:rPr>
        <w:t xml:space="preserve"> </w:t>
      </w:r>
      <w:r>
        <w:rPr>
          <w:sz w:val="24"/>
        </w:rPr>
        <w:t>differences</w:t>
      </w:r>
      <w:r>
        <w:rPr>
          <w:spacing w:val="-6"/>
          <w:sz w:val="24"/>
        </w:rPr>
        <w:t xml:space="preserve"> </w:t>
      </w:r>
      <w:r>
        <w:rPr>
          <w:sz w:val="24"/>
        </w:rPr>
        <w:t>across</w:t>
      </w:r>
      <w:r>
        <w:rPr>
          <w:spacing w:val="-9"/>
          <w:sz w:val="24"/>
        </w:rPr>
        <w:t xml:space="preserve"> </w:t>
      </w:r>
      <w:r>
        <w:rPr>
          <w:sz w:val="24"/>
        </w:rPr>
        <w:t>the</w:t>
      </w:r>
      <w:r>
        <w:rPr>
          <w:spacing w:val="-6"/>
          <w:sz w:val="24"/>
        </w:rPr>
        <w:t xml:space="preserve"> </w:t>
      </w:r>
      <w:r>
        <w:rPr>
          <w:i/>
          <w:sz w:val="24"/>
        </w:rPr>
        <w:t>large</w:t>
      </w:r>
      <w:r>
        <w:rPr>
          <w:i/>
          <w:spacing w:val="-9"/>
          <w:sz w:val="24"/>
        </w:rPr>
        <w:t xml:space="preserve"> </w:t>
      </w:r>
      <w:r>
        <w:rPr>
          <w:i/>
          <w:sz w:val="24"/>
        </w:rPr>
        <w:t>regions</w:t>
      </w:r>
      <w:r>
        <w:rPr>
          <w:i/>
          <w:spacing w:val="-6"/>
          <w:sz w:val="24"/>
        </w:rPr>
        <w:t xml:space="preserve"> </w:t>
      </w:r>
      <w:r>
        <w:rPr>
          <w:sz w:val="24"/>
        </w:rPr>
        <w:t>in</w:t>
      </w:r>
      <w:r>
        <w:rPr>
          <w:spacing w:val="-9"/>
          <w:sz w:val="24"/>
        </w:rPr>
        <w:t xml:space="preserve"> </w:t>
      </w:r>
      <w:r>
        <w:rPr>
          <w:sz w:val="24"/>
        </w:rPr>
        <w:t>terms</w:t>
      </w:r>
      <w:r>
        <w:rPr>
          <w:spacing w:val="-7"/>
          <w:sz w:val="24"/>
        </w:rPr>
        <w:t xml:space="preserve"> </w:t>
      </w:r>
      <w:r>
        <w:rPr>
          <w:sz w:val="24"/>
        </w:rPr>
        <w:t>of</w:t>
      </w:r>
      <w:r>
        <w:rPr>
          <w:spacing w:val="-7"/>
          <w:sz w:val="24"/>
        </w:rPr>
        <w:t xml:space="preserve"> </w:t>
      </w:r>
      <w:r>
        <w:rPr>
          <w:sz w:val="24"/>
        </w:rPr>
        <w:t>acceptance</w:t>
      </w:r>
      <w:r>
        <w:rPr>
          <w:spacing w:val="-7"/>
          <w:sz w:val="24"/>
        </w:rPr>
        <w:t xml:space="preserve"> </w:t>
      </w:r>
      <w:r>
        <w:rPr>
          <w:sz w:val="24"/>
        </w:rPr>
        <w:t>problems</w:t>
      </w:r>
      <w:r>
        <w:rPr>
          <w:spacing w:val="-8"/>
          <w:sz w:val="24"/>
        </w:rPr>
        <w:t xml:space="preserve"> </w:t>
      </w:r>
      <w:r>
        <w:rPr>
          <w:sz w:val="24"/>
        </w:rPr>
        <w:t>were concerns</w:t>
      </w:r>
      <w:r>
        <w:rPr>
          <w:spacing w:val="-8"/>
          <w:sz w:val="24"/>
        </w:rPr>
        <w:t xml:space="preserve"> </w:t>
      </w:r>
      <w:r>
        <w:rPr>
          <w:sz w:val="24"/>
        </w:rPr>
        <w:t>regarding</w:t>
      </w:r>
      <w:r>
        <w:rPr>
          <w:spacing w:val="-6"/>
          <w:sz w:val="24"/>
        </w:rPr>
        <w:t xml:space="preserve"> </w:t>
      </w:r>
      <w:r>
        <w:rPr>
          <w:i/>
          <w:sz w:val="24"/>
        </w:rPr>
        <w:t>external</w:t>
      </w:r>
      <w:r>
        <w:rPr>
          <w:i/>
          <w:spacing w:val="-5"/>
          <w:sz w:val="24"/>
        </w:rPr>
        <w:t xml:space="preserve"> </w:t>
      </w:r>
      <w:r>
        <w:rPr>
          <w:i/>
          <w:sz w:val="24"/>
        </w:rPr>
        <w:t>influence</w:t>
      </w:r>
      <w:r>
        <w:rPr>
          <w:sz w:val="24"/>
        </w:rPr>
        <w:t>,</w:t>
      </w:r>
      <w:r>
        <w:rPr>
          <w:spacing w:val="-6"/>
          <w:sz w:val="24"/>
        </w:rPr>
        <w:t xml:space="preserve"> </w:t>
      </w:r>
      <w:r>
        <w:rPr>
          <w:i/>
          <w:sz w:val="24"/>
        </w:rPr>
        <w:t>local</w:t>
      </w:r>
      <w:r>
        <w:rPr>
          <w:i/>
          <w:spacing w:val="-6"/>
          <w:sz w:val="24"/>
        </w:rPr>
        <w:t xml:space="preserve"> </w:t>
      </w:r>
      <w:r>
        <w:rPr>
          <w:i/>
          <w:sz w:val="24"/>
        </w:rPr>
        <w:t>image</w:t>
      </w:r>
      <w:r>
        <w:rPr>
          <w:sz w:val="24"/>
        </w:rPr>
        <w:t>,</w:t>
      </w:r>
      <w:r>
        <w:rPr>
          <w:spacing w:val="-6"/>
          <w:sz w:val="24"/>
        </w:rPr>
        <w:t xml:space="preserve"> </w:t>
      </w:r>
      <w:r>
        <w:rPr>
          <w:i/>
          <w:sz w:val="24"/>
        </w:rPr>
        <w:t>landscape</w:t>
      </w:r>
      <w:r>
        <w:rPr>
          <w:i/>
          <w:spacing w:val="-7"/>
          <w:sz w:val="24"/>
        </w:rPr>
        <w:t xml:space="preserve"> </w:t>
      </w:r>
      <w:r>
        <w:rPr>
          <w:sz w:val="24"/>
        </w:rPr>
        <w:t>and</w:t>
      </w:r>
      <w:r>
        <w:rPr>
          <w:spacing w:val="-6"/>
          <w:sz w:val="24"/>
        </w:rPr>
        <w:t xml:space="preserve"> </w:t>
      </w:r>
      <w:r>
        <w:rPr>
          <w:i/>
          <w:sz w:val="24"/>
        </w:rPr>
        <w:t>social</w:t>
      </w:r>
      <w:r>
        <w:rPr>
          <w:i/>
          <w:spacing w:val="-5"/>
          <w:sz w:val="24"/>
        </w:rPr>
        <w:t xml:space="preserve"> </w:t>
      </w:r>
      <w:r>
        <w:rPr>
          <w:i/>
          <w:sz w:val="24"/>
        </w:rPr>
        <w:t>justice</w:t>
      </w:r>
      <w:r>
        <w:rPr>
          <w:i/>
          <w:spacing w:val="-7"/>
          <w:sz w:val="24"/>
        </w:rPr>
        <w:t xml:space="preserve"> </w:t>
      </w:r>
      <w:r>
        <w:rPr>
          <w:sz w:val="24"/>
        </w:rPr>
        <w:t>(</w:t>
      </w:r>
      <w:r>
        <w:rPr>
          <w:b/>
          <w:sz w:val="24"/>
        </w:rPr>
        <w:t>Appendix</w:t>
      </w:r>
      <w:r>
        <w:rPr>
          <w:b/>
          <w:spacing w:val="-5"/>
          <w:sz w:val="24"/>
        </w:rPr>
        <w:t xml:space="preserve"> </w:t>
      </w:r>
      <w:r>
        <w:rPr>
          <w:b/>
          <w:sz w:val="24"/>
        </w:rPr>
        <w:t>B: Table B.1</w:t>
      </w:r>
      <w:r>
        <w:rPr>
          <w:sz w:val="24"/>
        </w:rPr>
        <w:t xml:space="preserve">). </w:t>
      </w:r>
      <w:r>
        <w:rPr>
          <w:i/>
          <w:sz w:val="24"/>
        </w:rPr>
        <w:t xml:space="preserve">External influence </w:t>
      </w:r>
      <w:r>
        <w:rPr>
          <w:sz w:val="24"/>
        </w:rPr>
        <w:t>was considered to be the most important concern in the CEE region</w:t>
      </w:r>
      <w:r>
        <w:rPr>
          <w:spacing w:val="-11"/>
          <w:sz w:val="24"/>
        </w:rPr>
        <w:t xml:space="preserve"> </w:t>
      </w:r>
      <w:r>
        <w:rPr>
          <w:sz w:val="24"/>
        </w:rPr>
        <w:t>and</w:t>
      </w:r>
      <w:r>
        <w:rPr>
          <w:spacing w:val="-11"/>
          <w:sz w:val="24"/>
        </w:rPr>
        <w:t xml:space="preserve"> </w:t>
      </w:r>
      <w:r>
        <w:rPr>
          <w:sz w:val="24"/>
        </w:rPr>
        <w:t>the</w:t>
      </w:r>
      <w:r>
        <w:rPr>
          <w:spacing w:val="-12"/>
          <w:sz w:val="24"/>
        </w:rPr>
        <w:t xml:space="preserve"> </w:t>
      </w:r>
      <w:r>
        <w:rPr>
          <w:sz w:val="24"/>
        </w:rPr>
        <w:t>least</w:t>
      </w:r>
      <w:r>
        <w:rPr>
          <w:spacing w:val="-13"/>
          <w:sz w:val="24"/>
        </w:rPr>
        <w:t xml:space="preserve"> </w:t>
      </w:r>
      <w:r>
        <w:rPr>
          <w:sz w:val="24"/>
        </w:rPr>
        <w:t>important</w:t>
      </w:r>
      <w:r>
        <w:rPr>
          <w:spacing w:val="-10"/>
          <w:sz w:val="24"/>
        </w:rPr>
        <w:t xml:space="preserve"> </w:t>
      </w:r>
      <w:r>
        <w:rPr>
          <w:sz w:val="24"/>
        </w:rPr>
        <w:t>in</w:t>
      </w:r>
      <w:r>
        <w:rPr>
          <w:spacing w:val="-11"/>
          <w:sz w:val="24"/>
        </w:rPr>
        <w:t xml:space="preserve"> </w:t>
      </w:r>
      <w:r>
        <w:rPr>
          <w:sz w:val="24"/>
        </w:rPr>
        <w:t>Northern</w:t>
      </w:r>
      <w:r>
        <w:rPr>
          <w:spacing w:val="-13"/>
          <w:sz w:val="24"/>
        </w:rPr>
        <w:t xml:space="preserve"> </w:t>
      </w:r>
      <w:r>
        <w:rPr>
          <w:sz w:val="24"/>
        </w:rPr>
        <w:t>Europe</w:t>
      </w:r>
      <w:r>
        <w:rPr>
          <w:spacing w:val="-11"/>
          <w:sz w:val="24"/>
        </w:rPr>
        <w:t xml:space="preserve"> </w:t>
      </w:r>
      <w:r>
        <w:rPr>
          <w:sz w:val="24"/>
        </w:rPr>
        <w:t>(post-hoc</w:t>
      </w:r>
      <w:r>
        <w:rPr>
          <w:spacing w:val="-12"/>
          <w:sz w:val="24"/>
        </w:rPr>
        <w:t xml:space="preserve"> </w:t>
      </w:r>
      <w:r>
        <w:rPr>
          <w:sz w:val="24"/>
        </w:rPr>
        <w:t>p=0.023).</w:t>
      </w:r>
      <w:r>
        <w:rPr>
          <w:spacing w:val="-13"/>
          <w:sz w:val="24"/>
        </w:rPr>
        <w:t xml:space="preserve"> </w:t>
      </w:r>
      <w:r>
        <w:rPr>
          <w:sz w:val="24"/>
        </w:rPr>
        <w:t>Concerns</w:t>
      </w:r>
      <w:r>
        <w:rPr>
          <w:spacing w:val="-10"/>
          <w:sz w:val="24"/>
        </w:rPr>
        <w:t xml:space="preserve"> </w:t>
      </w:r>
      <w:r>
        <w:rPr>
          <w:sz w:val="24"/>
        </w:rPr>
        <w:t>about</w:t>
      </w:r>
      <w:r>
        <w:rPr>
          <w:spacing w:val="-11"/>
          <w:sz w:val="24"/>
        </w:rPr>
        <w:t xml:space="preserve"> </w:t>
      </w:r>
      <w:r>
        <w:rPr>
          <w:sz w:val="24"/>
        </w:rPr>
        <w:t>the</w:t>
      </w:r>
      <w:r>
        <w:rPr>
          <w:spacing w:val="-14"/>
          <w:sz w:val="24"/>
        </w:rPr>
        <w:t xml:space="preserve"> </w:t>
      </w:r>
      <w:r>
        <w:rPr>
          <w:i/>
          <w:sz w:val="24"/>
        </w:rPr>
        <w:t xml:space="preserve">local image </w:t>
      </w:r>
      <w:r>
        <w:rPr>
          <w:sz w:val="24"/>
        </w:rPr>
        <w:t xml:space="preserve">were considered as most important in Western Europe and least important in Northern Europe (post-hoc p=0.051). Perceived </w:t>
      </w:r>
      <w:r>
        <w:rPr>
          <w:i/>
          <w:sz w:val="24"/>
        </w:rPr>
        <w:t xml:space="preserve">encroachment into the landscape </w:t>
      </w:r>
      <w:r>
        <w:rPr>
          <w:sz w:val="24"/>
        </w:rPr>
        <w:t>was assessed as most relevant in Northern Eur</w:t>
      </w:r>
      <w:r>
        <w:rPr>
          <w:sz w:val="24"/>
        </w:rPr>
        <w:t>ope and least relevant in the CEE region (post-hoc p=0.111). Finally, a</w:t>
      </w:r>
      <w:r>
        <w:rPr>
          <w:spacing w:val="-12"/>
          <w:sz w:val="24"/>
        </w:rPr>
        <w:t xml:space="preserve"> </w:t>
      </w:r>
      <w:r>
        <w:rPr>
          <w:sz w:val="24"/>
        </w:rPr>
        <w:t>lack</w:t>
      </w:r>
      <w:r>
        <w:rPr>
          <w:spacing w:val="-11"/>
          <w:sz w:val="24"/>
        </w:rPr>
        <w:t xml:space="preserve"> </w:t>
      </w:r>
      <w:r>
        <w:rPr>
          <w:sz w:val="24"/>
        </w:rPr>
        <w:t>of</w:t>
      </w:r>
      <w:r>
        <w:rPr>
          <w:spacing w:val="-12"/>
          <w:sz w:val="24"/>
        </w:rPr>
        <w:t xml:space="preserve"> </w:t>
      </w:r>
      <w:r>
        <w:rPr>
          <w:i/>
          <w:sz w:val="24"/>
        </w:rPr>
        <w:t>social</w:t>
      </w:r>
      <w:r>
        <w:rPr>
          <w:i/>
          <w:spacing w:val="-10"/>
          <w:sz w:val="24"/>
        </w:rPr>
        <w:t xml:space="preserve"> </w:t>
      </w:r>
      <w:r>
        <w:rPr>
          <w:i/>
          <w:sz w:val="24"/>
        </w:rPr>
        <w:t>justice</w:t>
      </w:r>
      <w:r>
        <w:rPr>
          <w:i/>
          <w:spacing w:val="-12"/>
          <w:sz w:val="24"/>
        </w:rPr>
        <w:t xml:space="preserve"> </w:t>
      </w:r>
      <w:r>
        <w:rPr>
          <w:sz w:val="24"/>
        </w:rPr>
        <w:t>was</w:t>
      </w:r>
      <w:r>
        <w:rPr>
          <w:spacing w:val="-10"/>
          <w:sz w:val="24"/>
        </w:rPr>
        <w:t xml:space="preserve"> </w:t>
      </w:r>
      <w:r>
        <w:rPr>
          <w:sz w:val="24"/>
        </w:rPr>
        <w:t>perceived</w:t>
      </w:r>
      <w:r>
        <w:rPr>
          <w:spacing w:val="-11"/>
          <w:sz w:val="24"/>
        </w:rPr>
        <w:t xml:space="preserve"> </w:t>
      </w:r>
      <w:r>
        <w:rPr>
          <w:sz w:val="24"/>
        </w:rPr>
        <w:t>to</w:t>
      </w:r>
      <w:r>
        <w:rPr>
          <w:spacing w:val="-11"/>
          <w:sz w:val="24"/>
        </w:rPr>
        <w:t xml:space="preserve"> </w:t>
      </w:r>
      <w:r>
        <w:rPr>
          <w:sz w:val="24"/>
        </w:rPr>
        <w:t>be</w:t>
      </w:r>
      <w:r>
        <w:rPr>
          <w:spacing w:val="-12"/>
          <w:sz w:val="24"/>
        </w:rPr>
        <w:t xml:space="preserve"> </w:t>
      </w:r>
      <w:r>
        <w:rPr>
          <w:sz w:val="24"/>
        </w:rPr>
        <w:t>most</w:t>
      </w:r>
      <w:r>
        <w:rPr>
          <w:spacing w:val="-10"/>
          <w:sz w:val="24"/>
        </w:rPr>
        <w:t xml:space="preserve"> </w:t>
      </w:r>
      <w:r>
        <w:rPr>
          <w:sz w:val="24"/>
        </w:rPr>
        <w:t>relevant</w:t>
      </w:r>
      <w:r>
        <w:rPr>
          <w:spacing w:val="-10"/>
          <w:sz w:val="24"/>
        </w:rPr>
        <w:t xml:space="preserve"> </w:t>
      </w:r>
      <w:r>
        <w:rPr>
          <w:sz w:val="24"/>
        </w:rPr>
        <w:t>in</w:t>
      </w:r>
      <w:r>
        <w:rPr>
          <w:spacing w:val="-11"/>
          <w:sz w:val="24"/>
        </w:rPr>
        <w:t xml:space="preserve"> </w:t>
      </w:r>
      <w:r>
        <w:rPr>
          <w:sz w:val="24"/>
        </w:rPr>
        <w:t>Western</w:t>
      </w:r>
      <w:r>
        <w:rPr>
          <w:spacing w:val="-11"/>
          <w:sz w:val="24"/>
        </w:rPr>
        <w:t xml:space="preserve"> </w:t>
      </w:r>
      <w:r>
        <w:rPr>
          <w:sz w:val="24"/>
        </w:rPr>
        <w:t>Europe</w:t>
      </w:r>
      <w:r>
        <w:rPr>
          <w:spacing w:val="-10"/>
          <w:sz w:val="24"/>
        </w:rPr>
        <w:t xml:space="preserve"> </w:t>
      </w:r>
      <w:r>
        <w:rPr>
          <w:sz w:val="24"/>
        </w:rPr>
        <w:t>and</w:t>
      </w:r>
      <w:r>
        <w:rPr>
          <w:spacing w:val="-10"/>
          <w:sz w:val="24"/>
        </w:rPr>
        <w:t xml:space="preserve"> </w:t>
      </w:r>
      <w:r>
        <w:rPr>
          <w:sz w:val="24"/>
        </w:rPr>
        <w:t>least</w:t>
      </w:r>
      <w:r>
        <w:rPr>
          <w:spacing w:val="-10"/>
          <w:sz w:val="24"/>
        </w:rPr>
        <w:t xml:space="preserve"> </w:t>
      </w:r>
      <w:r>
        <w:rPr>
          <w:sz w:val="24"/>
        </w:rPr>
        <w:t>important in Southern Europe (post-hoc</w:t>
      </w:r>
      <w:r>
        <w:rPr>
          <w:spacing w:val="-3"/>
          <w:sz w:val="24"/>
        </w:rPr>
        <w:t xml:space="preserve"> </w:t>
      </w:r>
      <w:r>
        <w:rPr>
          <w:sz w:val="24"/>
        </w:rPr>
        <w:t>p=0.068).</w:t>
      </w:r>
    </w:p>
    <w:p w:rsidR="00C94252" w:rsidRDefault="00A33443">
      <w:pPr>
        <w:spacing w:before="159"/>
        <w:ind w:left="116" w:right="192"/>
        <w:jc w:val="both"/>
        <w:rPr>
          <w:sz w:val="24"/>
        </w:rPr>
      </w:pPr>
      <w:r>
        <w:rPr>
          <w:sz w:val="24"/>
        </w:rPr>
        <w:t xml:space="preserve">The most relevant reason for resistance in Northern, Western and Southern Europe was regarded to be </w:t>
      </w:r>
      <w:r>
        <w:rPr>
          <w:i/>
          <w:sz w:val="24"/>
        </w:rPr>
        <w:t>encroachment into the landscape</w:t>
      </w:r>
      <w:r>
        <w:rPr>
          <w:sz w:val="24"/>
        </w:rPr>
        <w:t xml:space="preserve">, whereas in the CEE region, </w:t>
      </w:r>
      <w:r>
        <w:rPr>
          <w:i/>
          <w:sz w:val="24"/>
        </w:rPr>
        <w:t xml:space="preserve">lack of trust </w:t>
      </w:r>
      <w:r>
        <w:rPr>
          <w:sz w:val="24"/>
        </w:rPr>
        <w:t xml:space="preserve">and </w:t>
      </w:r>
      <w:r>
        <w:rPr>
          <w:i/>
          <w:sz w:val="24"/>
        </w:rPr>
        <w:t xml:space="preserve">lack of social justice </w:t>
      </w:r>
      <w:r>
        <w:rPr>
          <w:sz w:val="24"/>
        </w:rPr>
        <w:t>ranked as the highest concern (</w:t>
      </w:r>
      <w:r>
        <w:rPr>
          <w:b/>
          <w:sz w:val="24"/>
        </w:rPr>
        <w:t>Fig. 2</w:t>
      </w:r>
      <w:r>
        <w:rPr>
          <w:sz w:val="24"/>
        </w:rPr>
        <w:t>).</w:t>
      </w:r>
    </w:p>
    <w:p w:rsidR="00C94252" w:rsidRDefault="00A33443">
      <w:pPr>
        <w:pStyle w:val="Brdtekst"/>
        <w:rPr>
          <w:sz w:val="11"/>
        </w:rPr>
      </w:pPr>
      <w:r>
        <w:rPr>
          <w:noProof/>
          <w:lang w:val="nb-NO" w:eastAsia="nb-NO"/>
        </w:rPr>
        <w:drawing>
          <wp:anchor distT="0" distB="0" distL="0" distR="0" simplePos="0" relativeHeight="251659264" behindDoc="0" locked="0" layoutInCell="1" allowOverlap="1">
            <wp:simplePos x="0" y="0"/>
            <wp:positionH relativeFrom="page">
              <wp:posOffset>1198815</wp:posOffset>
            </wp:positionH>
            <wp:positionV relativeFrom="paragraph">
              <wp:posOffset>105553</wp:posOffset>
            </wp:positionV>
            <wp:extent cx="5380877" cy="45053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380877" cy="4505325"/>
                    </a:xfrm>
                    <a:prstGeom prst="rect">
                      <a:avLst/>
                    </a:prstGeom>
                  </pic:spPr>
                </pic:pic>
              </a:graphicData>
            </a:graphic>
          </wp:anchor>
        </w:drawing>
      </w:r>
    </w:p>
    <w:p w:rsidR="00C94252" w:rsidRDefault="00C94252">
      <w:pPr>
        <w:rPr>
          <w:sz w:val="11"/>
        </w:rPr>
        <w:sectPr w:rsidR="00C94252">
          <w:pgSz w:w="11900" w:h="16850"/>
          <w:pgMar w:top="1200" w:right="1220" w:bottom="940" w:left="1300" w:header="0" w:footer="751" w:gutter="0"/>
          <w:cols w:space="708"/>
        </w:sectPr>
      </w:pPr>
    </w:p>
    <w:p w:rsidR="00C94252" w:rsidRDefault="00A33443">
      <w:pPr>
        <w:spacing w:before="70"/>
        <w:ind w:left="116" w:right="195"/>
        <w:jc w:val="both"/>
        <w:rPr>
          <w:sz w:val="24"/>
        </w:rPr>
      </w:pPr>
      <w:r>
        <w:rPr>
          <w:b/>
          <w:sz w:val="24"/>
        </w:rPr>
        <w:t>Figure</w:t>
      </w:r>
      <w:r>
        <w:rPr>
          <w:b/>
          <w:spacing w:val="-14"/>
          <w:sz w:val="24"/>
        </w:rPr>
        <w:t xml:space="preserve"> </w:t>
      </w:r>
      <w:r>
        <w:rPr>
          <w:b/>
          <w:sz w:val="24"/>
        </w:rPr>
        <w:t>2</w:t>
      </w:r>
      <w:r>
        <w:rPr>
          <w:sz w:val="24"/>
        </w:rPr>
        <w:t>.</w:t>
      </w:r>
      <w:r>
        <w:rPr>
          <w:spacing w:val="-11"/>
          <w:sz w:val="24"/>
        </w:rPr>
        <w:t xml:space="preserve"> </w:t>
      </w:r>
      <w:r>
        <w:rPr>
          <w:sz w:val="24"/>
        </w:rPr>
        <w:t>Ranking</w:t>
      </w:r>
      <w:r>
        <w:rPr>
          <w:spacing w:val="-14"/>
          <w:sz w:val="24"/>
        </w:rPr>
        <w:t xml:space="preserve"> </w:t>
      </w:r>
      <w:r>
        <w:rPr>
          <w:sz w:val="24"/>
        </w:rPr>
        <w:t>of</w:t>
      </w:r>
      <w:r>
        <w:rPr>
          <w:spacing w:val="-14"/>
          <w:sz w:val="24"/>
        </w:rPr>
        <w:t xml:space="preserve"> </w:t>
      </w:r>
      <w:r>
        <w:rPr>
          <w:sz w:val="24"/>
        </w:rPr>
        <w:t>reasons</w:t>
      </w:r>
      <w:r>
        <w:rPr>
          <w:spacing w:val="-11"/>
          <w:sz w:val="24"/>
        </w:rPr>
        <w:t xml:space="preserve"> </w:t>
      </w:r>
      <w:r>
        <w:rPr>
          <w:sz w:val="24"/>
        </w:rPr>
        <w:t>for</w:t>
      </w:r>
      <w:r>
        <w:rPr>
          <w:spacing w:val="-15"/>
          <w:sz w:val="24"/>
        </w:rPr>
        <w:t xml:space="preserve"> </w:t>
      </w:r>
      <w:r>
        <w:rPr>
          <w:sz w:val="24"/>
        </w:rPr>
        <w:t>resistance</w:t>
      </w:r>
      <w:r>
        <w:rPr>
          <w:spacing w:val="-13"/>
          <w:sz w:val="24"/>
        </w:rPr>
        <w:t xml:space="preserve"> </w:t>
      </w:r>
      <w:r>
        <w:rPr>
          <w:sz w:val="24"/>
        </w:rPr>
        <w:t>towards</w:t>
      </w:r>
      <w:r>
        <w:rPr>
          <w:spacing w:val="-13"/>
          <w:sz w:val="24"/>
        </w:rPr>
        <w:t xml:space="preserve"> </w:t>
      </w:r>
      <w:r>
        <w:rPr>
          <w:sz w:val="24"/>
        </w:rPr>
        <w:t>WE:</w:t>
      </w:r>
      <w:r>
        <w:rPr>
          <w:spacing w:val="-12"/>
          <w:sz w:val="24"/>
        </w:rPr>
        <w:t xml:space="preserve"> </w:t>
      </w:r>
      <w:r>
        <w:rPr>
          <w:sz w:val="24"/>
        </w:rPr>
        <w:t>some</w:t>
      </w:r>
      <w:r>
        <w:rPr>
          <w:spacing w:val="-14"/>
          <w:sz w:val="24"/>
        </w:rPr>
        <w:t xml:space="preserve"> </w:t>
      </w:r>
      <w:r>
        <w:rPr>
          <w:sz w:val="24"/>
        </w:rPr>
        <w:t>differences</w:t>
      </w:r>
      <w:r>
        <w:rPr>
          <w:spacing w:val="-10"/>
          <w:sz w:val="24"/>
        </w:rPr>
        <w:t xml:space="preserve"> </w:t>
      </w:r>
      <w:r>
        <w:rPr>
          <w:sz w:val="24"/>
        </w:rPr>
        <w:t>across</w:t>
      </w:r>
      <w:r>
        <w:rPr>
          <w:spacing w:val="-12"/>
          <w:sz w:val="24"/>
        </w:rPr>
        <w:t xml:space="preserve"> </w:t>
      </w:r>
      <w:r>
        <w:rPr>
          <w:sz w:val="24"/>
        </w:rPr>
        <w:t>large</w:t>
      </w:r>
      <w:r>
        <w:rPr>
          <w:spacing w:val="-14"/>
          <w:sz w:val="24"/>
        </w:rPr>
        <w:t xml:space="preserve"> </w:t>
      </w:r>
      <w:r>
        <w:rPr>
          <w:sz w:val="24"/>
        </w:rPr>
        <w:t xml:space="preserve">regions. For details, see </w:t>
      </w:r>
      <w:r>
        <w:rPr>
          <w:b/>
          <w:sz w:val="24"/>
        </w:rPr>
        <w:t>Appendix B: Table</w:t>
      </w:r>
      <w:r>
        <w:rPr>
          <w:b/>
          <w:spacing w:val="-3"/>
          <w:sz w:val="24"/>
        </w:rPr>
        <w:t xml:space="preserve"> </w:t>
      </w:r>
      <w:r>
        <w:rPr>
          <w:b/>
          <w:sz w:val="24"/>
        </w:rPr>
        <w:t>B.1</w:t>
      </w:r>
      <w:r>
        <w:rPr>
          <w:sz w:val="24"/>
        </w:rPr>
        <w:t>.</w:t>
      </w:r>
    </w:p>
    <w:p w:rsidR="00C94252" w:rsidRDefault="00C94252">
      <w:pPr>
        <w:pStyle w:val="Brdtekst"/>
        <w:rPr>
          <w:sz w:val="26"/>
        </w:rPr>
      </w:pPr>
    </w:p>
    <w:p w:rsidR="00C94252" w:rsidRDefault="00C94252">
      <w:pPr>
        <w:pStyle w:val="Brdtekst"/>
        <w:spacing w:before="9"/>
        <w:rPr>
          <w:sz w:val="25"/>
        </w:rPr>
      </w:pPr>
    </w:p>
    <w:p w:rsidR="00C94252" w:rsidRDefault="00A33443">
      <w:pPr>
        <w:pStyle w:val="Brdtekst"/>
        <w:ind w:left="116" w:right="188"/>
        <w:jc w:val="both"/>
      </w:pPr>
      <w:r>
        <w:t>Differences</w:t>
      </w:r>
      <w:r>
        <w:rPr>
          <w:spacing w:val="-7"/>
        </w:rPr>
        <w:t xml:space="preserve"> </w:t>
      </w:r>
      <w:r>
        <w:t>across</w:t>
      </w:r>
      <w:r>
        <w:rPr>
          <w:spacing w:val="-9"/>
        </w:rPr>
        <w:t xml:space="preserve"> </w:t>
      </w:r>
      <w:r>
        <w:t>the</w:t>
      </w:r>
      <w:r>
        <w:rPr>
          <w:spacing w:val="-9"/>
        </w:rPr>
        <w:t xml:space="preserve"> </w:t>
      </w:r>
      <w:r>
        <w:rPr>
          <w:i/>
        </w:rPr>
        <w:t>sub-regions</w:t>
      </w:r>
      <w:r>
        <w:rPr>
          <w:i/>
          <w:spacing w:val="-8"/>
        </w:rPr>
        <w:t xml:space="preserve"> </w:t>
      </w:r>
      <w:r>
        <w:t>were</w:t>
      </w:r>
      <w:r>
        <w:rPr>
          <w:spacing w:val="-10"/>
        </w:rPr>
        <w:t xml:space="preserve"> </w:t>
      </w:r>
      <w:r>
        <w:t>more</w:t>
      </w:r>
      <w:r>
        <w:rPr>
          <w:spacing w:val="-9"/>
        </w:rPr>
        <w:t xml:space="preserve"> </w:t>
      </w:r>
      <w:r>
        <w:t>pronounced</w:t>
      </w:r>
      <w:r>
        <w:rPr>
          <w:spacing w:val="-8"/>
        </w:rPr>
        <w:t xml:space="preserve"> </w:t>
      </w:r>
      <w:r>
        <w:t>(</w:t>
      </w:r>
      <w:r>
        <w:rPr>
          <w:b/>
        </w:rPr>
        <w:t>Table</w:t>
      </w:r>
      <w:r>
        <w:rPr>
          <w:b/>
          <w:spacing w:val="-9"/>
        </w:rPr>
        <w:t xml:space="preserve"> </w:t>
      </w:r>
      <w:r>
        <w:rPr>
          <w:b/>
        </w:rPr>
        <w:t>1</w:t>
      </w:r>
      <w:r>
        <w:t>).</w:t>
      </w:r>
      <w:r>
        <w:rPr>
          <w:spacing w:val="-9"/>
        </w:rPr>
        <w:t xml:space="preserve"> </w:t>
      </w:r>
      <w:r>
        <w:t>For</w:t>
      </w:r>
      <w:r>
        <w:rPr>
          <w:spacing w:val="-7"/>
        </w:rPr>
        <w:t xml:space="preserve"> </w:t>
      </w:r>
      <w:r>
        <w:t>example,</w:t>
      </w:r>
      <w:r>
        <w:rPr>
          <w:spacing w:val="-7"/>
        </w:rPr>
        <w:t xml:space="preserve"> </w:t>
      </w:r>
      <w:r>
        <w:rPr>
          <w:i/>
        </w:rPr>
        <w:t>local</w:t>
      </w:r>
      <w:r>
        <w:rPr>
          <w:i/>
          <w:spacing w:val="-9"/>
        </w:rPr>
        <w:t xml:space="preserve"> </w:t>
      </w:r>
      <w:r>
        <w:rPr>
          <w:i/>
        </w:rPr>
        <w:t xml:space="preserve">image </w:t>
      </w:r>
      <w:r>
        <w:t>was</w:t>
      </w:r>
      <w:r>
        <w:rPr>
          <w:spacing w:val="-7"/>
        </w:rPr>
        <w:t xml:space="preserve"> </w:t>
      </w:r>
      <w:r>
        <w:t>considered</w:t>
      </w:r>
      <w:r>
        <w:rPr>
          <w:spacing w:val="-6"/>
        </w:rPr>
        <w:t xml:space="preserve"> </w:t>
      </w:r>
      <w:r>
        <w:t>as</w:t>
      </w:r>
      <w:r>
        <w:rPr>
          <w:spacing w:val="-6"/>
        </w:rPr>
        <w:t xml:space="preserve"> </w:t>
      </w:r>
      <w:r>
        <w:t>more</w:t>
      </w:r>
      <w:r>
        <w:rPr>
          <w:spacing w:val="-8"/>
        </w:rPr>
        <w:t xml:space="preserve"> </w:t>
      </w:r>
      <w:r>
        <w:t>important</w:t>
      </w:r>
      <w:r>
        <w:rPr>
          <w:spacing w:val="-5"/>
        </w:rPr>
        <w:t xml:space="preserve"> </w:t>
      </w:r>
      <w:r>
        <w:t>in</w:t>
      </w:r>
      <w:r>
        <w:rPr>
          <w:spacing w:val="-6"/>
        </w:rPr>
        <w:t xml:space="preserve"> </w:t>
      </w:r>
      <w:r>
        <w:t>the</w:t>
      </w:r>
      <w:r>
        <w:rPr>
          <w:spacing w:val="-8"/>
        </w:rPr>
        <w:t xml:space="preserve"> </w:t>
      </w:r>
      <w:r>
        <w:t>Western</w:t>
      </w:r>
      <w:r>
        <w:rPr>
          <w:spacing w:val="-6"/>
        </w:rPr>
        <w:t xml:space="preserve"> </w:t>
      </w:r>
      <w:r>
        <w:t>European</w:t>
      </w:r>
      <w:r>
        <w:rPr>
          <w:spacing w:val="-4"/>
        </w:rPr>
        <w:t xml:space="preserve"> </w:t>
      </w:r>
      <w:r>
        <w:t>British</w:t>
      </w:r>
      <w:r>
        <w:rPr>
          <w:spacing w:val="-6"/>
        </w:rPr>
        <w:t xml:space="preserve"> </w:t>
      </w:r>
      <w:r>
        <w:t>sub-region</w:t>
      </w:r>
      <w:r>
        <w:rPr>
          <w:spacing w:val="-5"/>
        </w:rPr>
        <w:t xml:space="preserve"> </w:t>
      </w:r>
      <w:r>
        <w:t>(GB,</w:t>
      </w:r>
      <w:r>
        <w:rPr>
          <w:spacing w:val="-4"/>
        </w:rPr>
        <w:t xml:space="preserve"> </w:t>
      </w:r>
      <w:r>
        <w:t>IE)</w:t>
      </w:r>
      <w:r>
        <w:rPr>
          <w:spacing w:val="-7"/>
        </w:rPr>
        <w:t xml:space="preserve"> </w:t>
      </w:r>
      <w:r>
        <w:t>than</w:t>
      </w:r>
      <w:r>
        <w:rPr>
          <w:spacing w:val="-6"/>
        </w:rPr>
        <w:t xml:space="preserve"> </w:t>
      </w:r>
      <w:r>
        <w:t xml:space="preserve">in the CEE-South-Eastern sub-region (BG, SI, RS, HR, BA) (post-hoc p=0.024) or in Northern Europe (DK, NO, SE, FI, IS) (post-hoc p=0.010). </w:t>
      </w:r>
      <w:r>
        <w:rPr>
          <w:i/>
        </w:rPr>
        <w:t xml:space="preserve">Landscape </w:t>
      </w:r>
      <w:r>
        <w:t>was perceived to have</w:t>
      </w:r>
      <w:r>
        <w:t xml:space="preserve"> significantly</w:t>
      </w:r>
      <w:r>
        <w:rPr>
          <w:spacing w:val="-15"/>
        </w:rPr>
        <w:t xml:space="preserve"> </w:t>
      </w:r>
      <w:r>
        <w:t>lower</w:t>
      </w:r>
      <w:r>
        <w:rPr>
          <w:spacing w:val="-11"/>
        </w:rPr>
        <w:t xml:space="preserve"> </w:t>
      </w:r>
      <w:r>
        <w:t>importance</w:t>
      </w:r>
      <w:r>
        <w:rPr>
          <w:spacing w:val="-11"/>
        </w:rPr>
        <w:t xml:space="preserve"> </w:t>
      </w:r>
      <w:r>
        <w:t>in</w:t>
      </w:r>
      <w:r>
        <w:rPr>
          <w:spacing w:val="-10"/>
        </w:rPr>
        <w:t xml:space="preserve"> </w:t>
      </w:r>
      <w:r>
        <w:t>the</w:t>
      </w:r>
      <w:r>
        <w:rPr>
          <w:spacing w:val="-11"/>
        </w:rPr>
        <w:t xml:space="preserve"> </w:t>
      </w:r>
      <w:r>
        <w:t>CEE</w:t>
      </w:r>
      <w:r>
        <w:rPr>
          <w:spacing w:val="-11"/>
        </w:rPr>
        <w:t xml:space="preserve"> </w:t>
      </w:r>
      <w:r>
        <w:t>South-Eastern</w:t>
      </w:r>
      <w:r>
        <w:rPr>
          <w:spacing w:val="-9"/>
        </w:rPr>
        <w:t xml:space="preserve"> </w:t>
      </w:r>
      <w:r>
        <w:t>sub-region</w:t>
      </w:r>
      <w:r>
        <w:rPr>
          <w:spacing w:val="-10"/>
        </w:rPr>
        <w:t xml:space="preserve"> </w:t>
      </w:r>
      <w:r>
        <w:t>than</w:t>
      </w:r>
      <w:r>
        <w:rPr>
          <w:spacing w:val="-11"/>
        </w:rPr>
        <w:t xml:space="preserve"> </w:t>
      </w:r>
      <w:r>
        <w:t>in</w:t>
      </w:r>
      <w:r>
        <w:rPr>
          <w:spacing w:val="-10"/>
        </w:rPr>
        <w:t xml:space="preserve"> </w:t>
      </w:r>
      <w:r>
        <w:t>several</w:t>
      </w:r>
      <w:r>
        <w:rPr>
          <w:spacing w:val="-10"/>
        </w:rPr>
        <w:t xml:space="preserve"> </w:t>
      </w:r>
      <w:r>
        <w:t>of</w:t>
      </w:r>
      <w:r>
        <w:rPr>
          <w:spacing w:val="-11"/>
        </w:rPr>
        <w:t xml:space="preserve"> </w:t>
      </w:r>
      <w:r>
        <w:t>the</w:t>
      </w:r>
      <w:r>
        <w:rPr>
          <w:spacing w:val="-11"/>
        </w:rPr>
        <w:t xml:space="preserve"> </w:t>
      </w:r>
      <w:r>
        <w:t>other (sub-)regions, for instance, the Northern Europe, Western Europe British or Western Europe Germanic</w:t>
      </w:r>
      <w:r>
        <w:rPr>
          <w:spacing w:val="-8"/>
        </w:rPr>
        <w:t xml:space="preserve"> </w:t>
      </w:r>
      <w:r>
        <w:t>(DE,</w:t>
      </w:r>
      <w:r>
        <w:rPr>
          <w:spacing w:val="-9"/>
        </w:rPr>
        <w:t xml:space="preserve"> </w:t>
      </w:r>
      <w:r>
        <w:t>AT,</w:t>
      </w:r>
      <w:r>
        <w:rPr>
          <w:spacing w:val="-10"/>
        </w:rPr>
        <w:t xml:space="preserve"> </w:t>
      </w:r>
      <w:r>
        <w:t>CH)</w:t>
      </w:r>
      <w:r>
        <w:rPr>
          <w:spacing w:val="-7"/>
        </w:rPr>
        <w:t xml:space="preserve"> </w:t>
      </w:r>
      <w:r>
        <w:t>sub-regions</w:t>
      </w:r>
      <w:r>
        <w:rPr>
          <w:spacing w:val="-8"/>
        </w:rPr>
        <w:t xml:space="preserve"> </w:t>
      </w:r>
      <w:r>
        <w:t>(for</w:t>
      </w:r>
      <w:r>
        <w:rPr>
          <w:spacing w:val="-10"/>
        </w:rPr>
        <w:t xml:space="preserve"> </w:t>
      </w:r>
      <w:r>
        <w:t>all</w:t>
      </w:r>
      <w:r>
        <w:rPr>
          <w:spacing w:val="-8"/>
        </w:rPr>
        <w:t xml:space="preserve"> </w:t>
      </w:r>
      <w:r>
        <w:t>these,</w:t>
      </w:r>
      <w:r>
        <w:rPr>
          <w:spacing w:val="-7"/>
        </w:rPr>
        <w:t xml:space="preserve"> </w:t>
      </w:r>
      <w:r>
        <w:t>post-hoc</w:t>
      </w:r>
      <w:r>
        <w:rPr>
          <w:spacing w:val="-10"/>
        </w:rPr>
        <w:t xml:space="preserve"> </w:t>
      </w:r>
      <w:r>
        <w:t>p=0.000).</w:t>
      </w:r>
      <w:r>
        <w:rPr>
          <w:spacing w:val="-9"/>
        </w:rPr>
        <w:t xml:space="preserve"> </w:t>
      </w:r>
      <w:r>
        <w:t>The</w:t>
      </w:r>
      <w:r>
        <w:rPr>
          <w:spacing w:val="-10"/>
        </w:rPr>
        <w:t xml:space="preserve"> </w:t>
      </w:r>
      <w:r>
        <w:t>‘</w:t>
      </w:r>
      <w:r>
        <w:rPr>
          <w:i/>
        </w:rPr>
        <w:t>external</w:t>
      </w:r>
      <w:r>
        <w:rPr>
          <w:i/>
          <w:spacing w:val="-8"/>
        </w:rPr>
        <w:t xml:space="preserve"> </w:t>
      </w:r>
      <w:r>
        <w:rPr>
          <w:i/>
        </w:rPr>
        <w:t>influence</w:t>
      </w:r>
      <w:r>
        <w:t>’ variable was assessed lower in the Northern European region compared to the Western European</w:t>
      </w:r>
      <w:r>
        <w:rPr>
          <w:spacing w:val="-10"/>
        </w:rPr>
        <w:t xml:space="preserve"> </w:t>
      </w:r>
      <w:r>
        <w:t>British</w:t>
      </w:r>
      <w:r>
        <w:rPr>
          <w:spacing w:val="-11"/>
        </w:rPr>
        <w:t xml:space="preserve"> </w:t>
      </w:r>
      <w:r>
        <w:t>(post-hoc</w:t>
      </w:r>
      <w:r>
        <w:rPr>
          <w:spacing w:val="-11"/>
        </w:rPr>
        <w:t xml:space="preserve"> </w:t>
      </w:r>
      <w:r>
        <w:t>p=0.050)</w:t>
      </w:r>
      <w:r>
        <w:rPr>
          <w:spacing w:val="-12"/>
        </w:rPr>
        <w:t xml:space="preserve"> </w:t>
      </w:r>
      <w:r>
        <w:t>or</w:t>
      </w:r>
      <w:r>
        <w:rPr>
          <w:spacing w:val="-12"/>
        </w:rPr>
        <w:t xml:space="preserve"> </w:t>
      </w:r>
      <w:r>
        <w:t>CEE-East-Central</w:t>
      </w:r>
      <w:r>
        <w:rPr>
          <w:spacing w:val="-10"/>
        </w:rPr>
        <w:t xml:space="preserve"> </w:t>
      </w:r>
      <w:r>
        <w:t>sub-region</w:t>
      </w:r>
      <w:r>
        <w:rPr>
          <w:spacing w:val="-11"/>
        </w:rPr>
        <w:t xml:space="preserve"> </w:t>
      </w:r>
      <w:r>
        <w:t>(CZ,</w:t>
      </w:r>
      <w:r>
        <w:rPr>
          <w:spacing w:val="-8"/>
        </w:rPr>
        <w:t xml:space="preserve"> </w:t>
      </w:r>
      <w:r>
        <w:t>SK,</w:t>
      </w:r>
      <w:r>
        <w:rPr>
          <w:spacing w:val="-11"/>
        </w:rPr>
        <w:t xml:space="preserve"> </w:t>
      </w:r>
      <w:r>
        <w:t>HU,</w:t>
      </w:r>
      <w:r>
        <w:rPr>
          <w:spacing w:val="-10"/>
        </w:rPr>
        <w:t xml:space="preserve"> </w:t>
      </w:r>
      <w:r>
        <w:t>RO)</w:t>
      </w:r>
      <w:r>
        <w:rPr>
          <w:spacing w:val="-12"/>
        </w:rPr>
        <w:t xml:space="preserve"> </w:t>
      </w:r>
      <w:r>
        <w:t>(post- hoc</w:t>
      </w:r>
      <w:r>
        <w:rPr>
          <w:spacing w:val="-2"/>
        </w:rPr>
        <w:t xml:space="preserve"> </w:t>
      </w:r>
      <w:r>
        <w:t>p=0.019).</w:t>
      </w:r>
    </w:p>
    <w:p w:rsidR="00C94252" w:rsidRDefault="00C94252">
      <w:pPr>
        <w:jc w:val="both"/>
        <w:sectPr w:rsidR="00C94252">
          <w:pgSz w:w="11900" w:h="16850"/>
          <w:pgMar w:top="1200" w:right="1220" w:bottom="940" w:left="1300" w:header="0" w:footer="751" w:gutter="0"/>
          <w:cols w:space="708"/>
        </w:sectPr>
      </w:pPr>
    </w:p>
    <w:p w:rsidR="00C94252" w:rsidRDefault="00C94252">
      <w:pPr>
        <w:pStyle w:val="Brdtekst"/>
        <w:spacing w:before="6"/>
        <w:rPr>
          <w:sz w:val="17"/>
        </w:rPr>
      </w:pPr>
    </w:p>
    <w:p w:rsidR="00C94252" w:rsidRDefault="00A33443">
      <w:pPr>
        <w:pStyle w:val="Brdtekst"/>
        <w:spacing w:before="90" w:after="6"/>
        <w:ind w:left="115"/>
      </w:pPr>
      <w:r>
        <w:rPr>
          <w:b/>
        </w:rPr>
        <w:t>Table 1</w:t>
      </w:r>
      <w:r>
        <w:t>. Reasons for r</w:t>
      </w:r>
      <w:r>
        <w:t>esistance towards WE: differences across sub-regions. Significance levels: **p&lt;0,05; ***p&lt;0,005.</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258"/>
        <w:gridCol w:w="1253"/>
        <w:gridCol w:w="1250"/>
        <w:gridCol w:w="1262"/>
        <w:gridCol w:w="1253"/>
        <w:gridCol w:w="1250"/>
        <w:gridCol w:w="1250"/>
        <w:gridCol w:w="1253"/>
        <w:gridCol w:w="1274"/>
        <w:gridCol w:w="837"/>
      </w:tblGrid>
      <w:tr w:rsidR="00C94252">
        <w:trPr>
          <w:trHeight w:val="454"/>
        </w:trPr>
        <w:tc>
          <w:tcPr>
            <w:tcW w:w="581" w:type="dxa"/>
            <w:vMerge w:val="restart"/>
            <w:tcBorders>
              <w:bottom w:val="single" w:sz="8" w:space="0" w:color="000000"/>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10"/>
              <w:rPr>
                <w:sz w:val="34"/>
              </w:rPr>
            </w:pPr>
          </w:p>
          <w:p w:rsidR="00C94252" w:rsidRDefault="00A33443">
            <w:pPr>
              <w:pStyle w:val="TableParagraph"/>
              <w:spacing w:before="1"/>
              <w:ind w:left="119"/>
              <w:rPr>
                <w:i/>
                <w:sz w:val="24"/>
              </w:rPr>
            </w:pPr>
            <w:r>
              <w:rPr>
                <w:i/>
                <w:sz w:val="24"/>
              </w:rPr>
              <w:t>No.</w:t>
            </w:r>
          </w:p>
        </w:tc>
        <w:tc>
          <w:tcPr>
            <w:tcW w:w="2258" w:type="dxa"/>
            <w:vMerge w:val="restart"/>
            <w:tcBorders>
              <w:bottom w:val="single" w:sz="8" w:space="0" w:color="000000"/>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10"/>
              <w:rPr>
                <w:sz w:val="34"/>
              </w:rPr>
            </w:pPr>
          </w:p>
          <w:p w:rsidR="00C94252" w:rsidRDefault="00A33443">
            <w:pPr>
              <w:pStyle w:val="TableParagraph"/>
              <w:spacing w:before="1"/>
              <w:ind w:left="254"/>
              <w:rPr>
                <w:i/>
                <w:sz w:val="24"/>
              </w:rPr>
            </w:pPr>
            <w:r>
              <w:rPr>
                <w:i/>
                <w:sz w:val="24"/>
              </w:rPr>
              <w:t>Resistance factors</w:t>
            </w:r>
          </w:p>
        </w:tc>
        <w:tc>
          <w:tcPr>
            <w:tcW w:w="10882" w:type="dxa"/>
            <w:gridSpan w:val="9"/>
            <w:tcBorders>
              <w:bottom w:val="single" w:sz="6" w:space="0" w:color="000000"/>
            </w:tcBorders>
          </w:tcPr>
          <w:p w:rsidR="00C94252" w:rsidRDefault="00A33443">
            <w:pPr>
              <w:pStyle w:val="TableParagraph"/>
              <w:spacing w:before="87"/>
              <w:ind w:left="3796" w:right="3783"/>
              <w:jc w:val="center"/>
              <w:rPr>
                <w:i/>
                <w:sz w:val="24"/>
              </w:rPr>
            </w:pPr>
            <w:r>
              <w:rPr>
                <w:i/>
                <w:sz w:val="24"/>
              </w:rPr>
              <w:t>Regional differences: sub-regions</w:t>
            </w:r>
          </w:p>
        </w:tc>
      </w:tr>
      <w:tr w:rsidR="00C94252">
        <w:trPr>
          <w:trHeight w:val="1809"/>
        </w:trPr>
        <w:tc>
          <w:tcPr>
            <w:tcW w:w="581" w:type="dxa"/>
            <w:vMerge/>
            <w:tcBorders>
              <w:top w:val="nil"/>
              <w:bottom w:val="single" w:sz="8" w:space="0" w:color="000000"/>
            </w:tcBorders>
          </w:tcPr>
          <w:p w:rsidR="00C94252" w:rsidRDefault="00C94252">
            <w:pPr>
              <w:rPr>
                <w:sz w:val="2"/>
                <w:szCs w:val="2"/>
              </w:rPr>
            </w:pPr>
          </w:p>
        </w:tc>
        <w:tc>
          <w:tcPr>
            <w:tcW w:w="2258" w:type="dxa"/>
            <w:vMerge/>
            <w:tcBorders>
              <w:top w:val="nil"/>
              <w:bottom w:val="single" w:sz="8" w:space="0" w:color="000000"/>
            </w:tcBorders>
          </w:tcPr>
          <w:p w:rsidR="00C94252" w:rsidRDefault="00C94252">
            <w:pPr>
              <w:rPr>
                <w:sz w:val="2"/>
                <w:szCs w:val="2"/>
              </w:rPr>
            </w:pPr>
          </w:p>
        </w:tc>
        <w:tc>
          <w:tcPr>
            <w:tcW w:w="1253" w:type="dxa"/>
            <w:tcBorders>
              <w:top w:val="single" w:sz="6" w:space="0" w:color="000000"/>
              <w:bottom w:val="single" w:sz="8" w:space="0" w:color="000000"/>
            </w:tcBorders>
          </w:tcPr>
          <w:p w:rsidR="00C94252" w:rsidRDefault="00C94252">
            <w:pPr>
              <w:pStyle w:val="TableParagraph"/>
              <w:spacing w:before="2"/>
              <w:rPr>
                <w:sz w:val="30"/>
              </w:rPr>
            </w:pPr>
          </w:p>
          <w:p w:rsidR="00C94252" w:rsidRDefault="00A33443">
            <w:pPr>
              <w:pStyle w:val="TableParagraph"/>
              <w:spacing w:before="1"/>
              <w:ind w:left="163" w:right="150" w:firstLine="1"/>
              <w:jc w:val="center"/>
              <w:rPr>
                <w:i/>
                <w:sz w:val="24"/>
              </w:rPr>
            </w:pPr>
            <w:r>
              <w:rPr>
                <w:i/>
                <w:sz w:val="24"/>
              </w:rPr>
              <w:t>Northern Europe (DK,</w:t>
            </w:r>
            <w:r>
              <w:rPr>
                <w:i/>
                <w:spacing w:val="-2"/>
                <w:sz w:val="24"/>
              </w:rPr>
              <w:t xml:space="preserve"> </w:t>
            </w:r>
            <w:r>
              <w:rPr>
                <w:i/>
                <w:spacing w:val="-5"/>
                <w:sz w:val="24"/>
              </w:rPr>
              <w:t>NO,</w:t>
            </w:r>
          </w:p>
          <w:p w:rsidR="00C94252" w:rsidRDefault="00A33443">
            <w:pPr>
              <w:pStyle w:val="TableParagraph"/>
              <w:ind w:left="95" w:right="84"/>
              <w:jc w:val="center"/>
              <w:rPr>
                <w:i/>
                <w:sz w:val="24"/>
              </w:rPr>
            </w:pPr>
            <w:r>
              <w:rPr>
                <w:i/>
                <w:sz w:val="24"/>
              </w:rPr>
              <w:t>SE, FI,</w:t>
            </w:r>
            <w:r>
              <w:rPr>
                <w:i/>
                <w:spacing w:val="-1"/>
                <w:sz w:val="24"/>
              </w:rPr>
              <w:t xml:space="preserve"> </w:t>
            </w:r>
            <w:r>
              <w:rPr>
                <w:i/>
                <w:sz w:val="24"/>
              </w:rPr>
              <w:t>IS)</w:t>
            </w:r>
          </w:p>
        </w:tc>
        <w:tc>
          <w:tcPr>
            <w:tcW w:w="1250" w:type="dxa"/>
            <w:tcBorders>
              <w:top w:val="single" w:sz="6" w:space="0" w:color="000000"/>
              <w:bottom w:val="single" w:sz="8" w:space="0" w:color="000000"/>
            </w:tcBorders>
          </w:tcPr>
          <w:p w:rsidR="00C94252" w:rsidRDefault="00C94252">
            <w:pPr>
              <w:pStyle w:val="TableParagraph"/>
              <w:rPr>
                <w:sz w:val="26"/>
              </w:rPr>
            </w:pPr>
          </w:p>
          <w:p w:rsidR="00C94252" w:rsidRDefault="00A33443">
            <w:pPr>
              <w:pStyle w:val="TableParagraph"/>
              <w:spacing w:before="185"/>
              <w:ind w:left="132"/>
              <w:rPr>
                <w:i/>
                <w:sz w:val="24"/>
              </w:rPr>
            </w:pPr>
            <w:r>
              <w:rPr>
                <w:i/>
                <w:sz w:val="24"/>
              </w:rPr>
              <w:t>W-Europe</w:t>
            </w:r>
          </w:p>
          <w:p w:rsidR="00C94252" w:rsidRDefault="00A33443">
            <w:pPr>
              <w:pStyle w:val="TableParagraph"/>
              <w:ind w:left="192" w:right="59" w:hanging="104"/>
              <w:rPr>
                <w:i/>
                <w:sz w:val="24"/>
              </w:rPr>
            </w:pPr>
            <w:r>
              <w:rPr>
                <w:i/>
                <w:sz w:val="24"/>
              </w:rPr>
              <w:t>- Bene(lux) (NL, BE)</w:t>
            </w:r>
          </w:p>
        </w:tc>
        <w:tc>
          <w:tcPr>
            <w:tcW w:w="1262" w:type="dxa"/>
            <w:tcBorders>
              <w:top w:val="single" w:sz="6" w:space="0" w:color="000000"/>
              <w:bottom w:val="single" w:sz="8" w:space="0" w:color="000000"/>
            </w:tcBorders>
          </w:tcPr>
          <w:p w:rsidR="00C94252" w:rsidRDefault="00C94252">
            <w:pPr>
              <w:pStyle w:val="TableParagraph"/>
              <w:spacing w:before="2"/>
              <w:rPr>
                <w:sz w:val="30"/>
              </w:rPr>
            </w:pPr>
          </w:p>
          <w:p w:rsidR="00C94252" w:rsidRDefault="00A33443">
            <w:pPr>
              <w:pStyle w:val="TableParagraph"/>
              <w:spacing w:before="1"/>
              <w:ind w:left="140"/>
              <w:rPr>
                <w:i/>
                <w:sz w:val="24"/>
              </w:rPr>
            </w:pPr>
            <w:r>
              <w:rPr>
                <w:i/>
                <w:sz w:val="24"/>
              </w:rPr>
              <w:t>W-Europe</w:t>
            </w:r>
          </w:p>
          <w:p w:rsidR="00C94252" w:rsidRDefault="00A33443">
            <w:pPr>
              <w:pStyle w:val="TableParagraph"/>
              <w:ind w:left="85" w:right="67"/>
              <w:jc w:val="center"/>
              <w:rPr>
                <w:i/>
                <w:sz w:val="24"/>
              </w:rPr>
            </w:pPr>
            <w:r>
              <w:rPr>
                <w:i/>
                <w:sz w:val="24"/>
              </w:rPr>
              <w:t xml:space="preserve">- Germanic </w:t>
            </w:r>
            <w:r>
              <w:rPr>
                <w:i/>
                <w:sz w:val="24"/>
              </w:rPr>
              <w:t>(DE, AT, CH)</w:t>
            </w:r>
          </w:p>
        </w:tc>
        <w:tc>
          <w:tcPr>
            <w:tcW w:w="1253" w:type="dxa"/>
            <w:tcBorders>
              <w:top w:val="single" w:sz="6" w:space="0" w:color="000000"/>
              <w:bottom w:val="single" w:sz="8" w:space="0" w:color="000000"/>
            </w:tcBorders>
          </w:tcPr>
          <w:p w:rsidR="00C94252" w:rsidRDefault="00C94252">
            <w:pPr>
              <w:pStyle w:val="TableParagraph"/>
              <w:rPr>
                <w:sz w:val="26"/>
              </w:rPr>
            </w:pPr>
          </w:p>
          <w:p w:rsidR="00C94252" w:rsidRDefault="00A33443">
            <w:pPr>
              <w:pStyle w:val="TableParagraph"/>
              <w:spacing w:before="185"/>
              <w:ind w:left="136"/>
              <w:rPr>
                <w:i/>
                <w:sz w:val="24"/>
              </w:rPr>
            </w:pPr>
            <w:r>
              <w:rPr>
                <w:i/>
                <w:sz w:val="24"/>
              </w:rPr>
              <w:t>W-Europe</w:t>
            </w:r>
          </w:p>
          <w:p w:rsidR="00C94252" w:rsidRDefault="00A33443">
            <w:pPr>
              <w:pStyle w:val="TableParagraph"/>
              <w:ind w:left="215" w:right="181" w:firstLine="16"/>
              <w:rPr>
                <w:i/>
                <w:sz w:val="24"/>
              </w:rPr>
            </w:pPr>
            <w:r>
              <w:rPr>
                <w:i/>
                <w:sz w:val="24"/>
              </w:rPr>
              <w:t>- British (GB, IE)</w:t>
            </w:r>
          </w:p>
        </w:tc>
        <w:tc>
          <w:tcPr>
            <w:tcW w:w="1250" w:type="dxa"/>
            <w:tcBorders>
              <w:top w:val="single" w:sz="6" w:space="0" w:color="000000"/>
              <w:bottom w:val="single" w:sz="8" w:space="0" w:color="000000"/>
            </w:tcBorders>
          </w:tcPr>
          <w:p w:rsidR="00C94252" w:rsidRDefault="00C94252">
            <w:pPr>
              <w:pStyle w:val="TableParagraph"/>
              <w:spacing w:before="2"/>
              <w:rPr>
                <w:sz w:val="30"/>
              </w:rPr>
            </w:pPr>
          </w:p>
          <w:p w:rsidR="00C94252" w:rsidRDefault="00A33443">
            <w:pPr>
              <w:pStyle w:val="TableParagraph"/>
              <w:spacing w:before="1"/>
              <w:ind w:left="333"/>
              <w:rPr>
                <w:i/>
                <w:sz w:val="24"/>
              </w:rPr>
            </w:pPr>
            <w:r>
              <w:rPr>
                <w:i/>
                <w:sz w:val="24"/>
              </w:rPr>
              <w:t>CEE -</w:t>
            </w:r>
          </w:p>
          <w:p w:rsidR="00C94252" w:rsidRDefault="00A33443">
            <w:pPr>
              <w:pStyle w:val="TableParagraph"/>
              <w:ind w:left="95" w:right="75"/>
              <w:jc w:val="center"/>
              <w:rPr>
                <w:i/>
                <w:sz w:val="24"/>
              </w:rPr>
            </w:pPr>
            <w:r>
              <w:rPr>
                <w:i/>
                <w:sz w:val="24"/>
              </w:rPr>
              <w:t>North-East (EE, LV, LT, PL)</w:t>
            </w:r>
          </w:p>
        </w:tc>
        <w:tc>
          <w:tcPr>
            <w:tcW w:w="1250" w:type="dxa"/>
            <w:tcBorders>
              <w:top w:val="single" w:sz="6" w:space="0" w:color="000000"/>
              <w:bottom w:val="single" w:sz="8" w:space="0" w:color="000000"/>
            </w:tcBorders>
          </w:tcPr>
          <w:p w:rsidR="00C94252" w:rsidRDefault="00A33443">
            <w:pPr>
              <w:pStyle w:val="TableParagraph"/>
              <w:spacing w:before="208"/>
              <w:ind w:left="333"/>
              <w:rPr>
                <w:i/>
                <w:sz w:val="24"/>
              </w:rPr>
            </w:pPr>
            <w:r>
              <w:rPr>
                <w:i/>
                <w:sz w:val="24"/>
              </w:rPr>
              <w:t>CEE -</w:t>
            </w:r>
          </w:p>
          <w:p w:rsidR="00C94252" w:rsidRDefault="00A33443">
            <w:pPr>
              <w:pStyle w:val="TableParagraph"/>
              <w:ind w:left="95" w:right="73"/>
              <w:jc w:val="center"/>
              <w:rPr>
                <w:i/>
                <w:sz w:val="24"/>
              </w:rPr>
            </w:pPr>
            <w:r>
              <w:rPr>
                <w:i/>
                <w:sz w:val="24"/>
              </w:rPr>
              <w:t>East- Central (CZ, SK, HU, RO)</w:t>
            </w:r>
          </w:p>
        </w:tc>
        <w:tc>
          <w:tcPr>
            <w:tcW w:w="1253" w:type="dxa"/>
            <w:tcBorders>
              <w:top w:val="single" w:sz="6" w:space="0" w:color="000000"/>
              <w:bottom w:val="single" w:sz="8" w:space="0" w:color="000000"/>
            </w:tcBorders>
          </w:tcPr>
          <w:p w:rsidR="00C94252" w:rsidRDefault="00A33443">
            <w:pPr>
              <w:pStyle w:val="TableParagraph"/>
              <w:spacing w:before="208"/>
              <w:ind w:left="333"/>
              <w:rPr>
                <w:i/>
                <w:sz w:val="24"/>
              </w:rPr>
            </w:pPr>
            <w:r>
              <w:rPr>
                <w:i/>
                <w:sz w:val="24"/>
              </w:rPr>
              <w:t>CEE -</w:t>
            </w:r>
          </w:p>
          <w:p w:rsidR="00C94252" w:rsidRDefault="00A33443">
            <w:pPr>
              <w:pStyle w:val="TableParagraph"/>
              <w:ind w:left="101" w:right="82"/>
              <w:jc w:val="center"/>
              <w:rPr>
                <w:i/>
                <w:sz w:val="24"/>
              </w:rPr>
            </w:pPr>
            <w:r>
              <w:rPr>
                <w:i/>
                <w:sz w:val="24"/>
              </w:rPr>
              <w:t>South-East (BG, SI, RS, HR, BA)</w:t>
            </w:r>
          </w:p>
        </w:tc>
        <w:tc>
          <w:tcPr>
            <w:tcW w:w="1274" w:type="dxa"/>
            <w:tcBorders>
              <w:top w:val="single" w:sz="6" w:space="0" w:color="000000"/>
              <w:bottom w:val="single" w:sz="8" w:space="0" w:color="000000"/>
            </w:tcBorders>
          </w:tcPr>
          <w:p w:rsidR="00C94252" w:rsidRDefault="00A33443">
            <w:pPr>
              <w:pStyle w:val="TableParagraph"/>
              <w:spacing w:before="72"/>
              <w:ind w:left="204" w:right="186"/>
              <w:jc w:val="center"/>
              <w:rPr>
                <w:i/>
                <w:sz w:val="24"/>
              </w:rPr>
            </w:pPr>
            <w:r>
              <w:rPr>
                <w:i/>
                <w:sz w:val="24"/>
              </w:rPr>
              <w:t>South- Europe (FR, GR, IT, PT,</w:t>
            </w:r>
          </w:p>
          <w:p w:rsidR="00C94252" w:rsidRDefault="00A33443">
            <w:pPr>
              <w:pStyle w:val="TableParagraph"/>
              <w:ind w:left="204" w:right="185"/>
              <w:jc w:val="center"/>
              <w:rPr>
                <w:i/>
                <w:sz w:val="24"/>
              </w:rPr>
            </w:pPr>
            <w:r>
              <w:rPr>
                <w:i/>
                <w:sz w:val="24"/>
              </w:rPr>
              <w:t>MT, ES, IL)</w:t>
            </w:r>
          </w:p>
        </w:tc>
        <w:tc>
          <w:tcPr>
            <w:tcW w:w="837" w:type="dxa"/>
            <w:tcBorders>
              <w:top w:val="single" w:sz="6" w:space="0" w:color="000000"/>
              <w:bottom w:val="single" w:sz="6" w:space="0" w:color="000000"/>
            </w:tcBorders>
          </w:tcPr>
          <w:p w:rsidR="00C94252" w:rsidRDefault="00C94252">
            <w:pPr>
              <w:pStyle w:val="TableParagraph"/>
              <w:spacing w:before="4"/>
              <w:rPr>
                <w:sz w:val="29"/>
              </w:rPr>
            </w:pPr>
          </w:p>
          <w:p w:rsidR="00C94252" w:rsidRDefault="00A33443">
            <w:pPr>
              <w:pStyle w:val="TableParagraph"/>
              <w:spacing w:before="1"/>
              <w:ind w:left="314" w:right="292"/>
              <w:jc w:val="center"/>
              <w:rPr>
                <w:i/>
                <w:sz w:val="24"/>
              </w:rPr>
            </w:pPr>
            <w:r>
              <w:rPr>
                <w:i/>
                <w:sz w:val="24"/>
              </w:rPr>
              <w:t>p.</w:t>
            </w:r>
          </w:p>
        </w:tc>
      </w:tr>
      <w:tr w:rsidR="00C94252">
        <w:trPr>
          <w:trHeight w:val="470"/>
        </w:trPr>
        <w:tc>
          <w:tcPr>
            <w:tcW w:w="2839" w:type="dxa"/>
            <w:gridSpan w:val="2"/>
            <w:tcBorders>
              <w:top w:val="single" w:sz="8" w:space="0" w:color="000000"/>
              <w:bottom w:val="nil"/>
            </w:tcBorders>
          </w:tcPr>
          <w:p w:rsidR="00C94252" w:rsidRDefault="00A33443">
            <w:pPr>
              <w:pStyle w:val="TableParagraph"/>
              <w:spacing w:before="88"/>
              <w:ind w:left="773"/>
              <w:rPr>
                <w:sz w:val="24"/>
              </w:rPr>
            </w:pPr>
            <w:r>
              <w:rPr>
                <w:sz w:val="24"/>
              </w:rPr>
              <w:t>Overall mean</w:t>
            </w:r>
          </w:p>
        </w:tc>
        <w:tc>
          <w:tcPr>
            <w:tcW w:w="1253" w:type="dxa"/>
            <w:tcBorders>
              <w:top w:val="single" w:sz="8" w:space="0" w:color="000000"/>
              <w:bottom w:val="nil"/>
            </w:tcBorders>
          </w:tcPr>
          <w:p w:rsidR="00C94252" w:rsidRDefault="00A33443">
            <w:pPr>
              <w:pStyle w:val="TableParagraph"/>
              <w:spacing w:before="88"/>
              <w:ind w:right="68"/>
              <w:jc w:val="right"/>
              <w:rPr>
                <w:sz w:val="24"/>
              </w:rPr>
            </w:pPr>
            <w:r>
              <w:rPr>
                <w:sz w:val="24"/>
              </w:rPr>
              <w:t>3,45</w:t>
            </w:r>
          </w:p>
        </w:tc>
        <w:tc>
          <w:tcPr>
            <w:tcW w:w="1250" w:type="dxa"/>
            <w:tcBorders>
              <w:top w:val="single" w:sz="8" w:space="0" w:color="000000"/>
              <w:bottom w:val="nil"/>
            </w:tcBorders>
          </w:tcPr>
          <w:p w:rsidR="00C94252" w:rsidRDefault="00A33443">
            <w:pPr>
              <w:pStyle w:val="TableParagraph"/>
              <w:spacing w:before="88"/>
              <w:ind w:right="67"/>
              <w:jc w:val="right"/>
              <w:rPr>
                <w:sz w:val="24"/>
              </w:rPr>
            </w:pPr>
            <w:r>
              <w:rPr>
                <w:sz w:val="24"/>
              </w:rPr>
              <w:t>3,69</w:t>
            </w:r>
          </w:p>
        </w:tc>
        <w:tc>
          <w:tcPr>
            <w:tcW w:w="1262" w:type="dxa"/>
            <w:tcBorders>
              <w:top w:val="single" w:sz="8" w:space="0" w:color="000000"/>
              <w:bottom w:val="nil"/>
            </w:tcBorders>
          </w:tcPr>
          <w:p w:rsidR="00C94252" w:rsidRDefault="00A33443">
            <w:pPr>
              <w:pStyle w:val="TableParagraph"/>
              <w:spacing w:before="88"/>
              <w:ind w:right="65"/>
              <w:jc w:val="right"/>
              <w:rPr>
                <w:sz w:val="24"/>
              </w:rPr>
            </w:pPr>
            <w:r>
              <w:rPr>
                <w:sz w:val="24"/>
              </w:rPr>
              <w:t>3,74</w:t>
            </w:r>
          </w:p>
        </w:tc>
        <w:tc>
          <w:tcPr>
            <w:tcW w:w="1253" w:type="dxa"/>
            <w:tcBorders>
              <w:top w:val="single" w:sz="8" w:space="0" w:color="000000"/>
              <w:bottom w:val="nil"/>
            </w:tcBorders>
          </w:tcPr>
          <w:p w:rsidR="00C94252" w:rsidRDefault="00A33443">
            <w:pPr>
              <w:pStyle w:val="TableParagraph"/>
              <w:spacing w:before="88"/>
              <w:ind w:right="65"/>
              <w:jc w:val="right"/>
              <w:rPr>
                <w:sz w:val="24"/>
              </w:rPr>
            </w:pPr>
            <w:r>
              <w:rPr>
                <w:sz w:val="24"/>
              </w:rPr>
              <w:t>4,38</w:t>
            </w:r>
          </w:p>
        </w:tc>
        <w:tc>
          <w:tcPr>
            <w:tcW w:w="1250" w:type="dxa"/>
            <w:tcBorders>
              <w:top w:val="single" w:sz="8" w:space="0" w:color="000000"/>
              <w:bottom w:val="nil"/>
            </w:tcBorders>
          </w:tcPr>
          <w:p w:rsidR="00C94252" w:rsidRDefault="00A33443">
            <w:pPr>
              <w:pStyle w:val="TableParagraph"/>
              <w:spacing w:before="88"/>
              <w:ind w:right="62"/>
              <w:jc w:val="right"/>
              <w:rPr>
                <w:sz w:val="24"/>
              </w:rPr>
            </w:pPr>
            <w:r>
              <w:rPr>
                <w:sz w:val="24"/>
              </w:rPr>
              <w:t>3,90</w:t>
            </w:r>
          </w:p>
        </w:tc>
        <w:tc>
          <w:tcPr>
            <w:tcW w:w="1250" w:type="dxa"/>
            <w:tcBorders>
              <w:top w:val="single" w:sz="8" w:space="0" w:color="000000"/>
              <w:bottom w:val="nil"/>
            </w:tcBorders>
          </w:tcPr>
          <w:p w:rsidR="00C94252" w:rsidRDefault="00A33443">
            <w:pPr>
              <w:pStyle w:val="TableParagraph"/>
              <w:spacing w:before="88"/>
              <w:ind w:right="62"/>
              <w:jc w:val="right"/>
              <w:rPr>
                <w:sz w:val="24"/>
              </w:rPr>
            </w:pPr>
            <w:r>
              <w:rPr>
                <w:sz w:val="24"/>
              </w:rPr>
              <w:t>3,63</w:t>
            </w:r>
          </w:p>
        </w:tc>
        <w:tc>
          <w:tcPr>
            <w:tcW w:w="1253" w:type="dxa"/>
            <w:tcBorders>
              <w:top w:val="single" w:sz="8" w:space="0" w:color="000000"/>
              <w:bottom w:val="nil"/>
            </w:tcBorders>
          </w:tcPr>
          <w:p w:rsidR="00C94252" w:rsidRDefault="00A33443">
            <w:pPr>
              <w:pStyle w:val="TableParagraph"/>
              <w:spacing w:before="88"/>
              <w:ind w:right="64"/>
              <w:jc w:val="right"/>
              <w:rPr>
                <w:sz w:val="24"/>
              </w:rPr>
            </w:pPr>
            <w:r>
              <w:rPr>
                <w:sz w:val="24"/>
              </w:rPr>
              <w:t>3,37</w:t>
            </w:r>
          </w:p>
        </w:tc>
        <w:tc>
          <w:tcPr>
            <w:tcW w:w="1274" w:type="dxa"/>
            <w:tcBorders>
              <w:top w:val="single" w:sz="8" w:space="0" w:color="000000"/>
              <w:bottom w:val="nil"/>
            </w:tcBorders>
          </w:tcPr>
          <w:p w:rsidR="00C94252" w:rsidRDefault="00A33443">
            <w:pPr>
              <w:pStyle w:val="TableParagraph"/>
              <w:spacing w:before="88"/>
              <w:ind w:right="63"/>
              <w:jc w:val="right"/>
              <w:rPr>
                <w:sz w:val="24"/>
              </w:rPr>
            </w:pPr>
            <w:r>
              <w:rPr>
                <w:sz w:val="24"/>
              </w:rPr>
              <w:t>3,38</w:t>
            </w:r>
          </w:p>
        </w:tc>
        <w:tc>
          <w:tcPr>
            <w:tcW w:w="837" w:type="dxa"/>
            <w:tcBorders>
              <w:top w:val="single" w:sz="6" w:space="0" w:color="000000"/>
              <w:bottom w:val="nil"/>
            </w:tcBorders>
          </w:tcPr>
          <w:p w:rsidR="00C94252" w:rsidRDefault="00A33443">
            <w:pPr>
              <w:pStyle w:val="TableParagraph"/>
              <w:spacing w:before="88"/>
              <w:ind w:left="22"/>
              <w:jc w:val="center"/>
              <w:rPr>
                <w:i/>
                <w:sz w:val="24"/>
              </w:rPr>
            </w:pPr>
            <w:r>
              <w:rPr>
                <w:i/>
                <w:w w:val="99"/>
                <w:sz w:val="24"/>
              </w:rPr>
              <w:t>-</w:t>
            </w:r>
          </w:p>
        </w:tc>
      </w:tr>
      <w:tr w:rsidR="00C94252">
        <w:trPr>
          <w:trHeight w:val="762"/>
        </w:trPr>
        <w:tc>
          <w:tcPr>
            <w:tcW w:w="581"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left="9"/>
              <w:jc w:val="center"/>
              <w:rPr>
                <w:sz w:val="24"/>
              </w:rPr>
            </w:pPr>
            <w:r>
              <w:rPr>
                <w:sz w:val="24"/>
              </w:rPr>
              <w:t>1</w:t>
            </w:r>
          </w:p>
        </w:tc>
        <w:tc>
          <w:tcPr>
            <w:tcW w:w="2258" w:type="dxa"/>
            <w:tcBorders>
              <w:top w:val="nil"/>
              <w:bottom w:val="single" w:sz="6" w:space="0" w:color="000000"/>
              <w:right w:val="single" w:sz="8" w:space="0" w:color="000000"/>
            </w:tcBorders>
          </w:tcPr>
          <w:p w:rsidR="00C94252" w:rsidRDefault="00C94252">
            <w:pPr>
              <w:pStyle w:val="TableParagraph"/>
              <w:spacing w:before="6"/>
              <w:rPr>
                <w:sz w:val="21"/>
              </w:rPr>
            </w:pPr>
          </w:p>
          <w:p w:rsidR="00C94252" w:rsidRDefault="00A33443">
            <w:pPr>
              <w:pStyle w:val="TableParagraph"/>
              <w:ind w:left="81"/>
              <w:rPr>
                <w:sz w:val="24"/>
              </w:rPr>
            </w:pPr>
            <w:r>
              <w:rPr>
                <w:sz w:val="24"/>
              </w:rPr>
              <w:t>Lack of social justice</w:t>
            </w:r>
          </w:p>
        </w:tc>
        <w:tc>
          <w:tcPr>
            <w:tcW w:w="1253" w:type="dxa"/>
            <w:tcBorders>
              <w:top w:val="nil"/>
              <w:left w:val="single" w:sz="8" w:space="0" w:color="000000"/>
              <w:bottom w:val="single" w:sz="6" w:space="0" w:color="000000"/>
            </w:tcBorders>
          </w:tcPr>
          <w:p w:rsidR="00C94252" w:rsidRDefault="00C94252">
            <w:pPr>
              <w:pStyle w:val="TableParagraph"/>
              <w:spacing w:before="6"/>
              <w:rPr>
                <w:sz w:val="21"/>
              </w:rPr>
            </w:pPr>
          </w:p>
          <w:p w:rsidR="00C94252" w:rsidRDefault="00A33443">
            <w:pPr>
              <w:pStyle w:val="TableParagraph"/>
              <w:ind w:right="68"/>
              <w:jc w:val="right"/>
              <w:rPr>
                <w:sz w:val="24"/>
              </w:rPr>
            </w:pPr>
            <w:r>
              <w:rPr>
                <w:sz w:val="24"/>
              </w:rPr>
              <w:t>3,64</w:t>
            </w:r>
          </w:p>
        </w:tc>
        <w:tc>
          <w:tcPr>
            <w:tcW w:w="1250" w:type="dxa"/>
            <w:tcBorders>
              <w:top w:val="nil"/>
              <w:bottom w:val="single" w:sz="6" w:space="0" w:color="000000"/>
              <w:right w:val="single" w:sz="8" w:space="0" w:color="000000"/>
            </w:tcBorders>
          </w:tcPr>
          <w:p w:rsidR="00C94252" w:rsidRDefault="00C94252">
            <w:pPr>
              <w:pStyle w:val="TableParagraph"/>
              <w:spacing w:before="6"/>
              <w:rPr>
                <w:sz w:val="21"/>
              </w:rPr>
            </w:pPr>
          </w:p>
          <w:p w:rsidR="00C94252" w:rsidRDefault="00A33443">
            <w:pPr>
              <w:pStyle w:val="TableParagraph"/>
              <w:ind w:right="62"/>
              <w:jc w:val="right"/>
              <w:rPr>
                <w:sz w:val="24"/>
              </w:rPr>
            </w:pPr>
            <w:r>
              <w:rPr>
                <w:sz w:val="24"/>
              </w:rPr>
              <w:t>3,83</w:t>
            </w:r>
          </w:p>
        </w:tc>
        <w:tc>
          <w:tcPr>
            <w:tcW w:w="1262" w:type="dxa"/>
            <w:tcBorders>
              <w:top w:val="nil"/>
              <w:left w:val="single" w:sz="8" w:space="0" w:color="000000"/>
              <w:bottom w:val="single" w:sz="6" w:space="0" w:color="000000"/>
            </w:tcBorders>
          </w:tcPr>
          <w:p w:rsidR="00C94252" w:rsidRDefault="00C94252">
            <w:pPr>
              <w:pStyle w:val="TableParagraph"/>
              <w:spacing w:before="6"/>
              <w:rPr>
                <w:sz w:val="21"/>
              </w:rPr>
            </w:pPr>
          </w:p>
          <w:p w:rsidR="00C94252" w:rsidRDefault="00A33443">
            <w:pPr>
              <w:pStyle w:val="TableParagraph"/>
              <w:ind w:right="65"/>
              <w:jc w:val="right"/>
              <w:rPr>
                <w:sz w:val="24"/>
              </w:rPr>
            </w:pPr>
            <w:r>
              <w:rPr>
                <w:sz w:val="24"/>
              </w:rPr>
              <w:t>3,67</w:t>
            </w:r>
          </w:p>
        </w:tc>
        <w:tc>
          <w:tcPr>
            <w:tcW w:w="1253"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5"/>
              <w:jc w:val="right"/>
              <w:rPr>
                <w:sz w:val="24"/>
              </w:rPr>
            </w:pPr>
            <w:r>
              <w:rPr>
                <w:sz w:val="24"/>
              </w:rPr>
              <w:t>4,60</w:t>
            </w:r>
          </w:p>
        </w:tc>
        <w:tc>
          <w:tcPr>
            <w:tcW w:w="1250"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2"/>
              <w:jc w:val="right"/>
              <w:rPr>
                <w:sz w:val="24"/>
              </w:rPr>
            </w:pPr>
            <w:r>
              <w:rPr>
                <w:sz w:val="24"/>
              </w:rPr>
              <w:t>3,83</w:t>
            </w:r>
          </w:p>
        </w:tc>
        <w:tc>
          <w:tcPr>
            <w:tcW w:w="1250"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2"/>
              <w:jc w:val="right"/>
              <w:rPr>
                <w:sz w:val="24"/>
              </w:rPr>
            </w:pPr>
            <w:r>
              <w:rPr>
                <w:sz w:val="24"/>
              </w:rPr>
              <w:t>3,82</w:t>
            </w:r>
          </w:p>
        </w:tc>
        <w:tc>
          <w:tcPr>
            <w:tcW w:w="1253"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4"/>
              <w:jc w:val="right"/>
              <w:rPr>
                <w:sz w:val="24"/>
              </w:rPr>
            </w:pPr>
            <w:r>
              <w:rPr>
                <w:sz w:val="24"/>
              </w:rPr>
              <w:t>3,67</w:t>
            </w:r>
          </w:p>
        </w:tc>
        <w:tc>
          <w:tcPr>
            <w:tcW w:w="1274"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3"/>
              <w:jc w:val="right"/>
              <w:rPr>
                <w:sz w:val="24"/>
              </w:rPr>
            </w:pPr>
            <w:r>
              <w:rPr>
                <w:sz w:val="24"/>
              </w:rPr>
              <w:t>2,75</w:t>
            </w:r>
          </w:p>
        </w:tc>
        <w:tc>
          <w:tcPr>
            <w:tcW w:w="837" w:type="dxa"/>
            <w:tcBorders>
              <w:top w:val="nil"/>
              <w:bottom w:val="single" w:sz="6" w:space="0" w:color="000000"/>
            </w:tcBorders>
          </w:tcPr>
          <w:p w:rsidR="00C94252" w:rsidRDefault="00C94252">
            <w:pPr>
              <w:pStyle w:val="TableParagraph"/>
              <w:spacing w:before="6"/>
              <w:rPr>
                <w:sz w:val="21"/>
              </w:rPr>
            </w:pPr>
          </w:p>
          <w:p w:rsidR="00C94252" w:rsidRDefault="00A33443">
            <w:pPr>
              <w:pStyle w:val="TableParagraph"/>
              <w:ind w:right="60"/>
              <w:jc w:val="right"/>
              <w:rPr>
                <w:sz w:val="24"/>
              </w:rPr>
            </w:pPr>
            <w:r>
              <w:rPr>
                <w:sz w:val="24"/>
              </w:rPr>
              <w:t>0,296</w:t>
            </w:r>
          </w:p>
        </w:tc>
      </w:tr>
      <w:tr w:rsidR="00C94252">
        <w:trPr>
          <w:trHeight w:val="755"/>
        </w:trPr>
        <w:tc>
          <w:tcPr>
            <w:tcW w:w="581"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left="9"/>
              <w:jc w:val="center"/>
              <w:rPr>
                <w:sz w:val="24"/>
              </w:rPr>
            </w:pPr>
            <w:r>
              <w:rPr>
                <w:sz w:val="24"/>
              </w:rPr>
              <w:t>2</w:t>
            </w:r>
          </w:p>
        </w:tc>
        <w:tc>
          <w:tcPr>
            <w:tcW w:w="2258" w:type="dxa"/>
            <w:tcBorders>
              <w:top w:val="single" w:sz="6" w:space="0" w:color="000000"/>
              <w:bottom w:val="single" w:sz="6" w:space="0" w:color="000000"/>
              <w:right w:val="single" w:sz="8" w:space="0" w:color="000000"/>
            </w:tcBorders>
          </w:tcPr>
          <w:p w:rsidR="00C94252" w:rsidRDefault="00A33443">
            <w:pPr>
              <w:pStyle w:val="TableParagraph"/>
              <w:spacing w:before="101"/>
              <w:ind w:left="81" w:right="862"/>
              <w:rPr>
                <w:sz w:val="24"/>
              </w:rPr>
            </w:pPr>
            <w:r>
              <w:rPr>
                <w:sz w:val="24"/>
              </w:rPr>
              <w:t>Participation inappropriate</w:t>
            </w:r>
          </w:p>
        </w:tc>
        <w:tc>
          <w:tcPr>
            <w:tcW w:w="1253"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8"/>
              <w:jc w:val="right"/>
              <w:rPr>
                <w:sz w:val="24"/>
              </w:rPr>
            </w:pPr>
            <w:r>
              <w:rPr>
                <w:sz w:val="24"/>
              </w:rPr>
              <w:t>3,33</w:t>
            </w:r>
          </w:p>
        </w:tc>
        <w:tc>
          <w:tcPr>
            <w:tcW w:w="1250" w:type="dxa"/>
            <w:tcBorders>
              <w:top w:val="single" w:sz="6" w:space="0" w:color="000000"/>
              <w:bottom w:val="single" w:sz="6"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3,50</w:t>
            </w:r>
          </w:p>
        </w:tc>
        <w:tc>
          <w:tcPr>
            <w:tcW w:w="1262"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4,22</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4,20</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4,17</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3,58</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4"/>
              <w:jc w:val="right"/>
              <w:rPr>
                <w:sz w:val="24"/>
              </w:rPr>
            </w:pPr>
            <w:r>
              <w:rPr>
                <w:sz w:val="24"/>
              </w:rPr>
              <w:t>3,50</w:t>
            </w:r>
          </w:p>
        </w:tc>
        <w:tc>
          <w:tcPr>
            <w:tcW w:w="1274"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3"/>
              <w:jc w:val="right"/>
              <w:rPr>
                <w:sz w:val="24"/>
              </w:rPr>
            </w:pPr>
            <w:r>
              <w:rPr>
                <w:sz w:val="24"/>
              </w:rPr>
              <w:t>3,11</w:t>
            </w:r>
          </w:p>
        </w:tc>
        <w:tc>
          <w:tcPr>
            <w:tcW w:w="837"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0"/>
              <w:jc w:val="right"/>
              <w:rPr>
                <w:sz w:val="24"/>
              </w:rPr>
            </w:pPr>
            <w:r>
              <w:rPr>
                <w:sz w:val="24"/>
              </w:rPr>
              <w:t>0,310</w:t>
            </w:r>
          </w:p>
        </w:tc>
      </w:tr>
      <w:tr w:rsidR="00C94252">
        <w:trPr>
          <w:trHeight w:val="705"/>
        </w:trPr>
        <w:tc>
          <w:tcPr>
            <w:tcW w:w="581" w:type="dxa"/>
            <w:tcBorders>
              <w:top w:val="single" w:sz="6" w:space="0" w:color="000000"/>
              <w:bottom w:val="single" w:sz="6" w:space="0" w:color="000000"/>
            </w:tcBorders>
          </w:tcPr>
          <w:p w:rsidR="00C94252" w:rsidRDefault="00A33443">
            <w:pPr>
              <w:pStyle w:val="TableParagraph"/>
              <w:spacing w:before="216"/>
              <w:ind w:left="9"/>
              <w:jc w:val="center"/>
              <w:rPr>
                <w:sz w:val="24"/>
              </w:rPr>
            </w:pPr>
            <w:r>
              <w:rPr>
                <w:sz w:val="24"/>
              </w:rPr>
              <w:t>3</w:t>
            </w:r>
          </w:p>
        </w:tc>
        <w:tc>
          <w:tcPr>
            <w:tcW w:w="2258" w:type="dxa"/>
            <w:tcBorders>
              <w:top w:val="single" w:sz="6" w:space="0" w:color="000000"/>
              <w:bottom w:val="single" w:sz="6" w:space="0" w:color="000000"/>
              <w:right w:val="single" w:sz="8" w:space="0" w:color="000000"/>
            </w:tcBorders>
          </w:tcPr>
          <w:p w:rsidR="00C94252" w:rsidRDefault="00A33443">
            <w:pPr>
              <w:pStyle w:val="TableParagraph"/>
              <w:spacing w:before="81"/>
              <w:ind w:left="81" w:right="535"/>
              <w:rPr>
                <w:b/>
                <w:sz w:val="24"/>
              </w:rPr>
            </w:pPr>
            <w:r>
              <w:rPr>
                <w:b/>
                <w:sz w:val="24"/>
              </w:rPr>
              <w:t>***Local image concerns</w:t>
            </w:r>
          </w:p>
        </w:tc>
        <w:tc>
          <w:tcPr>
            <w:tcW w:w="1253" w:type="dxa"/>
            <w:tcBorders>
              <w:top w:val="single" w:sz="6" w:space="0" w:color="000000"/>
              <w:left w:val="single" w:sz="8" w:space="0" w:color="000000"/>
              <w:bottom w:val="single" w:sz="6" w:space="0" w:color="000000"/>
            </w:tcBorders>
          </w:tcPr>
          <w:p w:rsidR="00C94252" w:rsidRDefault="00A33443">
            <w:pPr>
              <w:pStyle w:val="TableParagraph"/>
              <w:spacing w:before="216"/>
              <w:ind w:right="68"/>
              <w:jc w:val="right"/>
              <w:rPr>
                <w:sz w:val="24"/>
              </w:rPr>
            </w:pPr>
            <w:r>
              <w:rPr>
                <w:sz w:val="24"/>
              </w:rPr>
              <w:t>2,58</w:t>
            </w:r>
          </w:p>
        </w:tc>
        <w:tc>
          <w:tcPr>
            <w:tcW w:w="1250" w:type="dxa"/>
            <w:tcBorders>
              <w:top w:val="single" w:sz="6" w:space="0" w:color="000000"/>
              <w:bottom w:val="single" w:sz="6" w:space="0" w:color="000000"/>
              <w:right w:val="single" w:sz="8" w:space="0" w:color="000000"/>
            </w:tcBorders>
          </w:tcPr>
          <w:p w:rsidR="00C94252" w:rsidRDefault="00A33443">
            <w:pPr>
              <w:pStyle w:val="TableParagraph"/>
              <w:spacing w:before="216"/>
              <w:ind w:right="62"/>
              <w:jc w:val="right"/>
              <w:rPr>
                <w:sz w:val="24"/>
              </w:rPr>
            </w:pPr>
            <w:r>
              <w:rPr>
                <w:sz w:val="24"/>
              </w:rPr>
              <w:t>3,00</w:t>
            </w:r>
          </w:p>
        </w:tc>
        <w:tc>
          <w:tcPr>
            <w:tcW w:w="1262" w:type="dxa"/>
            <w:tcBorders>
              <w:top w:val="single" w:sz="6" w:space="0" w:color="000000"/>
              <w:left w:val="single" w:sz="8" w:space="0" w:color="000000"/>
              <w:bottom w:val="single" w:sz="6" w:space="0" w:color="000000"/>
            </w:tcBorders>
          </w:tcPr>
          <w:p w:rsidR="00C94252" w:rsidRDefault="00A33443">
            <w:pPr>
              <w:pStyle w:val="TableParagraph"/>
              <w:spacing w:before="216"/>
              <w:ind w:right="65"/>
              <w:jc w:val="right"/>
              <w:rPr>
                <w:sz w:val="24"/>
              </w:rPr>
            </w:pPr>
            <w:r>
              <w:rPr>
                <w:sz w:val="24"/>
              </w:rPr>
              <w:t>3,78</w:t>
            </w:r>
          </w:p>
        </w:tc>
        <w:tc>
          <w:tcPr>
            <w:tcW w:w="1253" w:type="dxa"/>
            <w:tcBorders>
              <w:top w:val="single" w:sz="6" w:space="0" w:color="000000"/>
              <w:bottom w:val="single" w:sz="6" w:space="0" w:color="000000"/>
            </w:tcBorders>
          </w:tcPr>
          <w:p w:rsidR="00C94252" w:rsidRDefault="00A33443">
            <w:pPr>
              <w:pStyle w:val="TableParagraph"/>
              <w:spacing w:before="216"/>
              <w:ind w:right="65"/>
              <w:jc w:val="right"/>
              <w:rPr>
                <w:sz w:val="24"/>
              </w:rPr>
            </w:pPr>
            <w:r>
              <w:rPr>
                <w:sz w:val="24"/>
              </w:rPr>
              <w:t>4,80</w:t>
            </w:r>
          </w:p>
        </w:tc>
        <w:tc>
          <w:tcPr>
            <w:tcW w:w="1250" w:type="dxa"/>
            <w:tcBorders>
              <w:top w:val="single" w:sz="6" w:space="0" w:color="000000"/>
              <w:bottom w:val="single" w:sz="6" w:space="0" w:color="000000"/>
            </w:tcBorders>
          </w:tcPr>
          <w:p w:rsidR="00C94252" w:rsidRDefault="00A33443">
            <w:pPr>
              <w:pStyle w:val="TableParagraph"/>
              <w:spacing w:before="216"/>
              <w:ind w:right="62"/>
              <w:jc w:val="right"/>
              <w:rPr>
                <w:sz w:val="24"/>
              </w:rPr>
            </w:pPr>
            <w:r>
              <w:rPr>
                <w:sz w:val="24"/>
              </w:rPr>
              <w:t>4,14</w:t>
            </w:r>
          </w:p>
        </w:tc>
        <w:tc>
          <w:tcPr>
            <w:tcW w:w="1250" w:type="dxa"/>
            <w:tcBorders>
              <w:top w:val="single" w:sz="6" w:space="0" w:color="000000"/>
              <w:bottom w:val="single" w:sz="6" w:space="0" w:color="000000"/>
            </w:tcBorders>
          </w:tcPr>
          <w:p w:rsidR="00C94252" w:rsidRDefault="00A33443">
            <w:pPr>
              <w:pStyle w:val="TableParagraph"/>
              <w:spacing w:before="216"/>
              <w:ind w:right="62"/>
              <w:jc w:val="right"/>
              <w:rPr>
                <w:sz w:val="24"/>
              </w:rPr>
            </w:pPr>
            <w:r>
              <w:rPr>
                <w:sz w:val="24"/>
              </w:rPr>
              <w:t>3,09</w:t>
            </w:r>
          </w:p>
        </w:tc>
        <w:tc>
          <w:tcPr>
            <w:tcW w:w="1253" w:type="dxa"/>
            <w:tcBorders>
              <w:top w:val="single" w:sz="6" w:space="0" w:color="000000"/>
              <w:bottom w:val="single" w:sz="6" w:space="0" w:color="000000"/>
            </w:tcBorders>
          </w:tcPr>
          <w:p w:rsidR="00C94252" w:rsidRDefault="00A33443">
            <w:pPr>
              <w:pStyle w:val="TableParagraph"/>
              <w:spacing w:before="216"/>
              <w:ind w:right="64"/>
              <w:jc w:val="right"/>
              <w:rPr>
                <w:sz w:val="24"/>
              </w:rPr>
            </w:pPr>
            <w:r>
              <w:rPr>
                <w:sz w:val="24"/>
              </w:rPr>
              <w:t>2,67</w:t>
            </w:r>
          </w:p>
        </w:tc>
        <w:tc>
          <w:tcPr>
            <w:tcW w:w="1274" w:type="dxa"/>
            <w:tcBorders>
              <w:top w:val="single" w:sz="6" w:space="0" w:color="000000"/>
              <w:bottom w:val="single" w:sz="6" w:space="0" w:color="000000"/>
            </w:tcBorders>
          </w:tcPr>
          <w:p w:rsidR="00C94252" w:rsidRDefault="00A33443">
            <w:pPr>
              <w:pStyle w:val="TableParagraph"/>
              <w:spacing w:before="216"/>
              <w:ind w:right="63"/>
              <w:jc w:val="right"/>
              <w:rPr>
                <w:sz w:val="24"/>
              </w:rPr>
            </w:pPr>
            <w:r>
              <w:rPr>
                <w:sz w:val="24"/>
              </w:rPr>
              <w:t>3,56</w:t>
            </w:r>
          </w:p>
        </w:tc>
        <w:tc>
          <w:tcPr>
            <w:tcW w:w="837" w:type="dxa"/>
            <w:tcBorders>
              <w:top w:val="single" w:sz="6" w:space="0" w:color="000000"/>
              <w:bottom w:val="single" w:sz="6" w:space="0" w:color="000000"/>
            </w:tcBorders>
          </w:tcPr>
          <w:p w:rsidR="00C94252" w:rsidRDefault="00A33443">
            <w:pPr>
              <w:pStyle w:val="TableParagraph"/>
              <w:spacing w:before="221"/>
              <w:ind w:right="60"/>
              <w:jc w:val="right"/>
              <w:rPr>
                <w:b/>
                <w:sz w:val="24"/>
              </w:rPr>
            </w:pPr>
            <w:r>
              <w:rPr>
                <w:b/>
                <w:sz w:val="24"/>
              </w:rPr>
              <w:t>0,004</w:t>
            </w:r>
          </w:p>
        </w:tc>
      </w:tr>
      <w:tr w:rsidR="00C94252">
        <w:trPr>
          <w:trHeight w:val="781"/>
        </w:trPr>
        <w:tc>
          <w:tcPr>
            <w:tcW w:w="581"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left="9"/>
              <w:jc w:val="center"/>
              <w:rPr>
                <w:sz w:val="24"/>
              </w:rPr>
            </w:pPr>
            <w:r>
              <w:rPr>
                <w:sz w:val="24"/>
              </w:rPr>
              <w:t>4</w:t>
            </w:r>
          </w:p>
        </w:tc>
        <w:tc>
          <w:tcPr>
            <w:tcW w:w="2258" w:type="dxa"/>
            <w:tcBorders>
              <w:top w:val="single" w:sz="6" w:space="0" w:color="000000"/>
              <w:bottom w:val="single" w:sz="6" w:space="0" w:color="000000"/>
              <w:right w:val="single" w:sz="8" w:space="0" w:color="000000"/>
            </w:tcBorders>
          </w:tcPr>
          <w:p w:rsidR="00C94252" w:rsidRDefault="00A33443">
            <w:pPr>
              <w:pStyle w:val="TableParagraph"/>
              <w:spacing w:before="120"/>
              <w:ind w:left="81" w:right="275"/>
              <w:rPr>
                <w:b/>
                <w:sz w:val="24"/>
              </w:rPr>
            </w:pPr>
            <w:r>
              <w:rPr>
                <w:b/>
                <w:sz w:val="24"/>
              </w:rPr>
              <w:t>***Encroachment into the landscape</w:t>
            </w:r>
          </w:p>
        </w:tc>
        <w:tc>
          <w:tcPr>
            <w:tcW w:w="1253" w:type="dxa"/>
            <w:tcBorders>
              <w:top w:val="single" w:sz="6" w:space="0" w:color="000000"/>
              <w:left w:val="single" w:sz="8" w:space="0" w:color="000000"/>
              <w:bottom w:val="single" w:sz="6" w:space="0" w:color="000000"/>
            </w:tcBorders>
          </w:tcPr>
          <w:p w:rsidR="00C94252" w:rsidRDefault="00C94252">
            <w:pPr>
              <w:pStyle w:val="TableParagraph"/>
              <w:spacing w:before="1"/>
            </w:pPr>
          </w:p>
          <w:p w:rsidR="00C94252" w:rsidRDefault="00A33443">
            <w:pPr>
              <w:pStyle w:val="TableParagraph"/>
              <w:ind w:right="68"/>
              <w:jc w:val="right"/>
              <w:rPr>
                <w:sz w:val="24"/>
              </w:rPr>
            </w:pPr>
            <w:r>
              <w:rPr>
                <w:sz w:val="24"/>
              </w:rPr>
              <w:t>4,58</w:t>
            </w:r>
          </w:p>
        </w:tc>
        <w:tc>
          <w:tcPr>
            <w:tcW w:w="1250" w:type="dxa"/>
            <w:tcBorders>
              <w:top w:val="single" w:sz="6" w:space="0" w:color="000000"/>
              <w:bottom w:val="single" w:sz="6" w:space="0" w:color="000000"/>
              <w:right w:val="single" w:sz="8" w:space="0" w:color="000000"/>
            </w:tcBorders>
          </w:tcPr>
          <w:p w:rsidR="00C94252" w:rsidRDefault="00C94252">
            <w:pPr>
              <w:pStyle w:val="TableParagraph"/>
              <w:spacing w:before="1"/>
            </w:pPr>
          </w:p>
          <w:p w:rsidR="00C94252" w:rsidRDefault="00A33443">
            <w:pPr>
              <w:pStyle w:val="TableParagraph"/>
              <w:ind w:right="62"/>
              <w:jc w:val="right"/>
              <w:rPr>
                <w:sz w:val="24"/>
              </w:rPr>
            </w:pPr>
            <w:r>
              <w:rPr>
                <w:sz w:val="24"/>
              </w:rPr>
              <w:t>3,83</w:t>
            </w:r>
          </w:p>
        </w:tc>
        <w:tc>
          <w:tcPr>
            <w:tcW w:w="1262" w:type="dxa"/>
            <w:tcBorders>
              <w:top w:val="single" w:sz="6" w:space="0" w:color="000000"/>
              <w:left w:val="single" w:sz="8" w:space="0" w:color="000000"/>
              <w:bottom w:val="single" w:sz="6" w:space="0" w:color="000000"/>
            </w:tcBorders>
          </w:tcPr>
          <w:p w:rsidR="00C94252" w:rsidRDefault="00C94252">
            <w:pPr>
              <w:pStyle w:val="TableParagraph"/>
              <w:spacing w:before="1"/>
            </w:pPr>
          </w:p>
          <w:p w:rsidR="00C94252" w:rsidRDefault="00A33443">
            <w:pPr>
              <w:pStyle w:val="TableParagraph"/>
              <w:ind w:right="65"/>
              <w:jc w:val="right"/>
              <w:rPr>
                <w:sz w:val="24"/>
              </w:rPr>
            </w:pPr>
            <w:r>
              <w:rPr>
                <w:sz w:val="24"/>
              </w:rPr>
              <w:t>4,56</w:t>
            </w:r>
          </w:p>
        </w:tc>
        <w:tc>
          <w:tcPr>
            <w:tcW w:w="1253"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right="65"/>
              <w:jc w:val="right"/>
              <w:rPr>
                <w:sz w:val="24"/>
              </w:rPr>
            </w:pPr>
            <w:r>
              <w:rPr>
                <w:sz w:val="24"/>
              </w:rPr>
              <w:t>5,00</w:t>
            </w:r>
          </w:p>
        </w:tc>
        <w:tc>
          <w:tcPr>
            <w:tcW w:w="1250"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right="62"/>
              <w:jc w:val="right"/>
              <w:rPr>
                <w:sz w:val="24"/>
              </w:rPr>
            </w:pPr>
            <w:r>
              <w:rPr>
                <w:sz w:val="24"/>
              </w:rPr>
              <w:t>4,50</w:t>
            </w:r>
          </w:p>
        </w:tc>
        <w:tc>
          <w:tcPr>
            <w:tcW w:w="1250"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right="62"/>
              <w:jc w:val="right"/>
              <w:rPr>
                <w:sz w:val="24"/>
              </w:rPr>
            </w:pPr>
            <w:r>
              <w:rPr>
                <w:sz w:val="24"/>
              </w:rPr>
              <w:t>4,25</w:t>
            </w:r>
          </w:p>
        </w:tc>
        <w:tc>
          <w:tcPr>
            <w:tcW w:w="1253"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right="64"/>
              <w:jc w:val="right"/>
              <w:rPr>
                <w:sz w:val="24"/>
              </w:rPr>
            </w:pPr>
            <w:r>
              <w:rPr>
                <w:sz w:val="24"/>
              </w:rPr>
              <w:t>2,56</w:t>
            </w:r>
          </w:p>
        </w:tc>
        <w:tc>
          <w:tcPr>
            <w:tcW w:w="1274" w:type="dxa"/>
            <w:tcBorders>
              <w:top w:val="single" w:sz="6" w:space="0" w:color="000000"/>
              <w:bottom w:val="single" w:sz="6" w:space="0" w:color="000000"/>
            </w:tcBorders>
          </w:tcPr>
          <w:p w:rsidR="00C94252" w:rsidRDefault="00C94252">
            <w:pPr>
              <w:pStyle w:val="TableParagraph"/>
              <w:spacing w:before="1"/>
            </w:pPr>
          </w:p>
          <w:p w:rsidR="00C94252" w:rsidRDefault="00A33443">
            <w:pPr>
              <w:pStyle w:val="TableParagraph"/>
              <w:ind w:right="63"/>
              <w:jc w:val="right"/>
              <w:rPr>
                <w:sz w:val="24"/>
              </w:rPr>
            </w:pPr>
            <w:r>
              <w:rPr>
                <w:sz w:val="24"/>
              </w:rPr>
              <w:t>4,11</w:t>
            </w:r>
          </w:p>
        </w:tc>
        <w:tc>
          <w:tcPr>
            <w:tcW w:w="837" w:type="dxa"/>
            <w:tcBorders>
              <w:top w:val="single" w:sz="6" w:space="0" w:color="000000"/>
              <w:bottom w:val="single" w:sz="6" w:space="0" w:color="000000"/>
            </w:tcBorders>
          </w:tcPr>
          <w:p w:rsidR="00C94252" w:rsidRDefault="00C94252">
            <w:pPr>
              <w:pStyle w:val="TableParagraph"/>
              <w:spacing w:before="6"/>
            </w:pPr>
          </w:p>
          <w:p w:rsidR="00C94252" w:rsidRDefault="00A33443">
            <w:pPr>
              <w:pStyle w:val="TableParagraph"/>
              <w:ind w:right="60"/>
              <w:jc w:val="right"/>
              <w:rPr>
                <w:b/>
                <w:sz w:val="24"/>
              </w:rPr>
            </w:pPr>
            <w:r>
              <w:rPr>
                <w:b/>
                <w:sz w:val="24"/>
              </w:rPr>
              <w:t>0,000</w:t>
            </w:r>
          </w:p>
        </w:tc>
      </w:tr>
      <w:tr w:rsidR="00C94252">
        <w:trPr>
          <w:trHeight w:val="753"/>
        </w:trPr>
        <w:tc>
          <w:tcPr>
            <w:tcW w:w="581"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left="9"/>
              <w:jc w:val="center"/>
              <w:rPr>
                <w:sz w:val="24"/>
              </w:rPr>
            </w:pPr>
            <w:r>
              <w:rPr>
                <w:sz w:val="24"/>
              </w:rPr>
              <w:t>5</w:t>
            </w:r>
          </w:p>
        </w:tc>
        <w:tc>
          <w:tcPr>
            <w:tcW w:w="2258" w:type="dxa"/>
            <w:tcBorders>
              <w:top w:val="single" w:sz="6" w:space="0" w:color="000000"/>
              <w:bottom w:val="single" w:sz="6" w:space="0" w:color="000000"/>
              <w:right w:val="single" w:sz="8" w:space="0" w:color="000000"/>
            </w:tcBorders>
          </w:tcPr>
          <w:p w:rsidR="00C94252" w:rsidRDefault="00A33443">
            <w:pPr>
              <w:pStyle w:val="TableParagraph"/>
              <w:spacing w:before="101"/>
              <w:ind w:left="81" w:right="715"/>
              <w:rPr>
                <w:sz w:val="24"/>
              </w:rPr>
            </w:pPr>
            <w:r>
              <w:rPr>
                <w:sz w:val="24"/>
              </w:rPr>
              <w:t>Environmental concerns</w:t>
            </w:r>
          </w:p>
        </w:tc>
        <w:tc>
          <w:tcPr>
            <w:tcW w:w="1253"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8"/>
              <w:jc w:val="right"/>
              <w:rPr>
                <w:sz w:val="24"/>
              </w:rPr>
            </w:pPr>
            <w:r>
              <w:rPr>
                <w:sz w:val="24"/>
              </w:rPr>
              <w:t>4,30</w:t>
            </w:r>
          </w:p>
        </w:tc>
        <w:tc>
          <w:tcPr>
            <w:tcW w:w="1250" w:type="dxa"/>
            <w:tcBorders>
              <w:top w:val="single" w:sz="6" w:space="0" w:color="000000"/>
              <w:bottom w:val="single" w:sz="6"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3,67</w:t>
            </w:r>
          </w:p>
        </w:tc>
        <w:tc>
          <w:tcPr>
            <w:tcW w:w="1262"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3,75</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4,40</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3,29</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3,42</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4"/>
              <w:jc w:val="right"/>
              <w:rPr>
                <w:sz w:val="24"/>
              </w:rPr>
            </w:pPr>
            <w:r>
              <w:rPr>
                <w:sz w:val="24"/>
              </w:rPr>
              <w:t>3,89</w:t>
            </w:r>
          </w:p>
        </w:tc>
        <w:tc>
          <w:tcPr>
            <w:tcW w:w="1274"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3"/>
              <w:jc w:val="right"/>
              <w:rPr>
                <w:sz w:val="24"/>
              </w:rPr>
            </w:pPr>
            <w:r>
              <w:rPr>
                <w:sz w:val="24"/>
              </w:rPr>
              <w:t>3,67</w:t>
            </w:r>
          </w:p>
        </w:tc>
        <w:tc>
          <w:tcPr>
            <w:tcW w:w="837"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0"/>
              <w:jc w:val="right"/>
              <w:rPr>
                <w:sz w:val="24"/>
              </w:rPr>
            </w:pPr>
            <w:r>
              <w:rPr>
                <w:sz w:val="24"/>
              </w:rPr>
              <w:t>0,527</w:t>
            </w:r>
          </w:p>
        </w:tc>
      </w:tr>
      <w:tr w:rsidR="00C94252">
        <w:trPr>
          <w:trHeight w:val="755"/>
        </w:trPr>
        <w:tc>
          <w:tcPr>
            <w:tcW w:w="581"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left="9"/>
              <w:jc w:val="center"/>
              <w:rPr>
                <w:sz w:val="24"/>
              </w:rPr>
            </w:pPr>
            <w:r>
              <w:rPr>
                <w:sz w:val="24"/>
              </w:rPr>
              <w:t>6</w:t>
            </w:r>
          </w:p>
        </w:tc>
        <w:tc>
          <w:tcPr>
            <w:tcW w:w="2258" w:type="dxa"/>
            <w:tcBorders>
              <w:top w:val="single" w:sz="6" w:space="0" w:color="000000"/>
              <w:bottom w:val="single" w:sz="6"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left="81"/>
              <w:rPr>
                <w:sz w:val="24"/>
              </w:rPr>
            </w:pPr>
            <w:r>
              <w:rPr>
                <w:sz w:val="24"/>
              </w:rPr>
              <w:t>Conflict</w:t>
            </w:r>
          </w:p>
        </w:tc>
        <w:tc>
          <w:tcPr>
            <w:tcW w:w="1253"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8"/>
              <w:jc w:val="right"/>
              <w:rPr>
                <w:sz w:val="24"/>
              </w:rPr>
            </w:pPr>
            <w:r>
              <w:rPr>
                <w:sz w:val="24"/>
              </w:rPr>
              <w:t>3,50</w:t>
            </w:r>
          </w:p>
        </w:tc>
        <w:tc>
          <w:tcPr>
            <w:tcW w:w="1250" w:type="dxa"/>
            <w:tcBorders>
              <w:top w:val="single" w:sz="6" w:space="0" w:color="000000"/>
              <w:bottom w:val="single" w:sz="6"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3,50</w:t>
            </w:r>
          </w:p>
        </w:tc>
        <w:tc>
          <w:tcPr>
            <w:tcW w:w="1262"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3,22</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3,60</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3,57</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2,82</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4"/>
              <w:jc w:val="right"/>
              <w:rPr>
                <w:sz w:val="24"/>
              </w:rPr>
            </w:pPr>
            <w:r>
              <w:rPr>
                <w:sz w:val="24"/>
              </w:rPr>
              <w:t>3,22</w:t>
            </w:r>
          </w:p>
        </w:tc>
        <w:tc>
          <w:tcPr>
            <w:tcW w:w="1274"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3"/>
              <w:jc w:val="right"/>
              <w:rPr>
                <w:sz w:val="24"/>
              </w:rPr>
            </w:pPr>
            <w:r>
              <w:rPr>
                <w:sz w:val="24"/>
              </w:rPr>
              <w:t>3,13</w:t>
            </w:r>
          </w:p>
        </w:tc>
        <w:tc>
          <w:tcPr>
            <w:tcW w:w="837"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0"/>
              <w:jc w:val="right"/>
              <w:rPr>
                <w:sz w:val="24"/>
              </w:rPr>
            </w:pPr>
            <w:r>
              <w:rPr>
                <w:sz w:val="24"/>
              </w:rPr>
              <w:t>0,810</w:t>
            </w:r>
          </w:p>
        </w:tc>
      </w:tr>
      <w:tr w:rsidR="00C94252">
        <w:trPr>
          <w:trHeight w:val="760"/>
        </w:trPr>
        <w:tc>
          <w:tcPr>
            <w:tcW w:w="581"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left="9"/>
              <w:jc w:val="center"/>
              <w:rPr>
                <w:sz w:val="24"/>
              </w:rPr>
            </w:pPr>
            <w:r>
              <w:rPr>
                <w:sz w:val="24"/>
              </w:rPr>
              <w:t>7</w:t>
            </w:r>
          </w:p>
        </w:tc>
        <w:tc>
          <w:tcPr>
            <w:tcW w:w="2258" w:type="dxa"/>
            <w:tcBorders>
              <w:top w:val="single" w:sz="6" w:space="0" w:color="000000"/>
              <w:bottom w:val="single" w:sz="6" w:space="0" w:color="000000"/>
              <w:right w:val="single" w:sz="8" w:space="0" w:color="000000"/>
            </w:tcBorders>
          </w:tcPr>
          <w:p w:rsidR="00C94252" w:rsidRDefault="00A33443">
            <w:pPr>
              <w:pStyle w:val="TableParagraph"/>
              <w:spacing w:before="108"/>
              <w:ind w:left="81" w:right="1008"/>
              <w:rPr>
                <w:b/>
                <w:sz w:val="24"/>
              </w:rPr>
            </w:pPr>
            <w:r>
              <w:rPr>
                <w:b/>
                <w:sz w:val="24"/>
              </w:rPr>
              <w:t>**External influence</w:t>
            </w:r>
          </w:p>
        </w:tc>
        <w:tc>
          <w:tcPr>
            <w:tcW w:w="1253"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8"/>
              <w:jc w:val="right"/>
              <w:rPr>
                <w:sz w:val="24"/>
              </w:rPr>
            </w:pPr>
            <w:r>
              <w:rPr>
                <w:sz w:val="24"/>
              </w:rPr>
              <w:t>2,36</w:t>
            </w:r>
          </w:p>
        </w:tc>
        <w:tc>
          <w:tcPr>
            <w:tcW w:w="1250" w:type="dxa"/>
            <w:tcBorders>
              <w:top w:val="single" w:sz="6" w:space="0" w:color="000000"/>
              <w:bottom w:val="single" w:sz="6"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3,50</w:t>
            </w:r>
          </w:p>
        </w:tc>
        <w:tc>
          <w:tcPr>
            <w:tcW w:w="1262" w:type="dxa"/>
            <w:tcBorders>
              <w:top w:val="single" w:sz="6" w:space="0" w:color="000000"/>
              <w:left w:val="single" w:sz="8"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2,71</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4,40</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3,60</w:t>
            </w:r>
          </w:p>
        </w:tc>
        <w:tc>
          <w:tcPr>
            <w:tcW w:w="1250"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4,20</w:t>
            </w:r>
          </w:p>
        </w:tc>
        <w:tc>
          <w:tcPr>
            <w:tcW w:w="1253"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4"/>
              <w:jc w:val="right"/>
              <w:rPr>
                <w:sz w:val="24"/>
              </w:rPr>
            </w:pPr>
            <w:r>
              <w:rPr>
                <w:sz w:val="24"/>
              </w:rPr>
              <w:t>3,17</w:t>
            </w:r>
          </w:p>
        </w:tc>
        <w:tc>
          <w:tcPr>
            <w:tcW w:w="1274" w:type="dxa"/>
            <w:tcBorders>
              <w:top w:val="single" w:sz="6" w:space="0" w:color="000000"/>
              <w:bottom w:val="single" w:sz="6" w:space="0" w:color="000000"/>
            </w:tcBorders>
          </w:tcPr>
          <w:p w:rsidR="00C94252" w:rsidRDefault="00C94252">
            <w:pPr>
              <w:pStyle w:val="TableParagraph"/>
              <w:spacing w:before="10"/>
              <w:rPr>
                <w:sz w:val="20"/>
              </w:rPr>
            </w:pPr>
          </w:p>
          <w:p w:rsidR="00C94252" w:rsidRDefault="00A33443">
            <w:pPr>
              <w:pStyle w:val="TableParagraph"/>
              <w:ind w:right="63"/>
              <w:jc w:val="right"/>
              <w:rPr>
                <w:sz w:val="24"/>
              </w:rPr>
            </w:pPr>
            <w:r>
              <w:rPr>
                <w:sz w:val="24"/>
              </w:rPr>
              <w:t>2,88</w:t>
            </w:r>
          </w:p>
        </w:tc>
        <w:tc>
          <w:tcPr>
            <w:tcW w:w="837" w:type="dxa"/>
            <w:tcBorders>
              <w:top w:val="single" w:sz="6" w:space="0" w:color="000000"/>
              <w:bottom w:val="single" w:sz="6" w:space="0" w:color="000000"/>
            </w:tcBorders>
          </w:tcPr>
          <w:p w:rsidR="00C94252" w:rsidRDefault="00C94252">
            <w:pPr>
              <w:pStyle w:val="TableParagraph"/>
              <w:spacing w:before="3"/>
              <w:rPr>
                <w:sz w:val="21"/>
              </w:rPr>
            </w:pPr>
          </w:p>
          <w:p w:rsidR="00C94252" w:rsidRDefault="00A33443">
            <w:pPr>
              <w:pStyle w:val="TableParagraph"/>
              <w:ind w:right="60"/>
              <w:jc w:val="right"/>
              <w:rPr>
                <w:b/>
                <w:sz w:val="24"/>
              </w:rPr>
            </w:pPr>
            <w:r>
              <w:rPr>
                <w:b/>
                <w:sz w:val="24"/>
              </w:rPr>
              <w:t>0,014</w:t>
            </w:r>
          </w:p>
        </w:tc>
      </w:tr>
    </w:tbl>
    <w:p w:rsidR="00C94252" w:rsidRDefault="00C94252">
      <w:pPr>
        <w:jc w:val="right"/>
        <w:rPr>
          <w:sz w:val="24"/>
        </w:rPr>
        <w:sectPr w:rsidR="00C94252">
          <w:footerReference w:type="default" r:id="rId21"/>
          <w:pgSz w:w="16850" w:h="11900" w:orient="landscape"/>
          <w:pgMar w:top="1100" w:right="1460" w:bottom="860" w:left="1300" w:header="0" w:footer="671" w:gutter="0"/>
          <w:pgNumType w:start="11"/>
          <w:cols w:space="708"/>
        </w:sectPr>
      </w:pPr>
    </w:p>
    <w:p w:rsidR="00C94252" w:rsidRDefault="00C94252">
      <w:pPr>
        <w:pStyle w:val="Brdtekst"/>
        <w:spacing w:before="9"/>
        <w:rPr>
          <w:sz w:val="25"/>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258"/>
        <w:gridCol w:w="1253"/>
        <w:gridCol w:w="1250"/>
        <w:gridCol w:w="1262"/>
        <w:gridCol w:w="1253"/>
        <w:gridCol w:w="1250"/>
        <w:gridCol w:w="1250"/>
        <w:gridCol w:w="1253"/>
        <w:gridCol w:w="1274"/>
        <w:gridCol w:w="837"/>
      </w:tblGrid>
      <w:tr w:rsidR="00C94252">
        <w:trPr>
          <w:trHeight w:val="456"/>
        </w:trPr>
        <w:tc>
          <w:tcPr>
            <w:tcW w:w="581" w:type="dxa"/>
            <w:vMerge w:val="restart"/>
            <w:tcBorders>
              <w:bottom w:val="nil"/>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10"/>
              <w:rPr>
                <w:sz w:val="34"/>
              </w:rPr>
            </w:pPr>
          </w:p>
          <w:p w:rsidR="00C94252" w:rsidRDefault="00A33443">
            <w:pPr>
              <w:pStyle w:val="TableParagraph"/>
              <w:spacing w:before="1"/>
              <w:ind w:left="119"/>
              <w:rPr>
                <w:i/>
                <w:sz w:val="24"/>
              </w:rPr>
            </w:pPr>
            <w:r>
              <w:rPr>
                <w:i/>
                <w:sz w:val="24"/>
              </w:rPr>
              <w:t>No.</w:t>
            </w:r>
          </w:p>
        </w:tc>
        <w:tc>
          <w:tcPr>
            <w:tcW w:w="2258" w:type="dxa"/>
            <w:vMerge w:val="restart"/>
            <w:tcBorders>
              <w:bottom w:val="nil"/>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10"/>
              <w:rPr>
                <w:sz w:val="34"/>
              </w:rPr>
            </w:pPr>
          </w:p>
          <w:p w:rsidR="00C94252" w:rsidRDefault="00A33443">
            <w:pPr>
              <w:pStyle w:val="TableParagraph"/>
              <w:spacing w:before="1"/>
              <w:ind w:left="254"/>
              <w:rPr>
                <w:i/>
                <w:sz w:val="24"/>
              </w:rPr>
            </w:pPr>
            <w:r>
              <w:rPr>
                <w:i/>
                <w:sz w:val="24"/>
              </w:rPr>
              <w:t>Resistance factors</w:t>
            </w:r>
          </w:p>
        </w:tc>
        <w:tc>
          <w:tcPr>
            <w:tcW w:w="10882" w:type="dxa"/>
            <w:gridSpan w:val="9"/>
            <w:tcBorders>
              <w:bottom w:val="single" w:sz="6" w:space="0" w:color="000000"/>
            </w:tcBorders>
          </w:tcPr>
          <w:p w:rsidR="00C94252" w:rsidRDefault="00A33443">
            <w:pPr>
              <w:pStyle w:val="TableParagraph"/>
              <w:spacing w:before="87"/>
              <w:ind w:left="3796" w:right="3783"/>
              <w:jc w:val="center"/>
              <w:rPr>
                <w:i/>
                <w:sz w:val="24"/>
              </w:rPr>
            </w:pPr>
            <w:r>
              <w:rPr>
                <w:i/>
                <w:sz w:val="24"/>
              </w:rPr>
              <w:t>Regional differences: sub-regions</w:t>
            </w:r>
          </w:p>
        </w:tc>
      </w:tr>
      <w:tr w:rsidR="00C94252">
        <w:trPr>
          <w:trHeight w:val="1821"/>
        </w:trPr>
        <w:tc>
          <w:tcPr>
            <w:tcW w:w="581" w:type="dxa"/>
            <w:vMerge/>
            <w:tcBorders>
              <w:top w:val="nil"/>
              <w:bottom w:val="nil"/>
            </w:tcBorders>
          </w:tcPr>
          <w:p w:rsidR="00C94252" w:rsidRDefault="00C94252">
            <w:pPr>
              <w:rPr>
                <w:sz w:val="2"/>
                <w:szCs w:val="2"/>
              </w:rPr>
            </w:pPr>
          </w:p>
        </w:tc>
        <w:tc>
          <w:tcPr>
            <w:tcW w:w="2258" w:type="dxa"/>
            <w:vMerge/>
            <w:tcBorders>
              <w:top w:val="nil"/>
              <w:bottom w:val="nil"/>
            </w:tcBorders>
          </w:tcPr>
          <w:p w:rsidR="00C94252" w:rsidRDefault="00C94252">
            <w:pPr>
              <w:rPr>
                <w:sz w:val="2"/>
                <w:szCs w:val="2"/>
              </w:rPr>
            </w:pPr>
          </w:p>
        </w:tc>
        <w:tc>
          <w:tcPr>
            <w:tcW w:w="1253" w:type="dxa"/>
            <w:tcBorders>
              <w:top w:val="single" w:sz="6" w:space="0" w:color="000000"/>
              <w:bottom w:val="nil"/>
            </w:tcBorders>
          </w:tcPr>
          <w:p w:rsidR="00C94252" w:rsidRDefault="00C94252">
            <w:pPr>
              <w:pStyle w:val="TableParagraph"/>
              <w:spacing w:before="5"/>
              <w:rPr>
                <w:sz w:val="30"/>
              </w:rPr>
            </w:pPr>
          </w:p>
          <w:p w:rsidR="00C94252" w:rsidRDefault="00A33443">
            <w:pPr>
              <w:pStyle w:val="TableParagraph"/>
              <w:ind w:left="163" w:right="150" w:firstLine="1"/>
              <w:jc w:val="center"/>
              <w:rPr>
                <w:i/>
                <w:sz w:val="24"/>
              </w:rPr>
            </w:pPr>
            <w:r>
              <w:rPr>
                <w:i/>
                <w:sz w:val="24"/>
              </w:rPr>
              <w:t>Northern Europe (DK,</w:t>
            </w:r>
            <w:r>
              <w:rPr>
                <w:i/>
                <w:spacing w:val="-2"/>
                <w:sz w:val="24"/>
              </w:rPr>
              <w:t xml:space="preserve"> </w:t>
            </w:r>
            <w:r>
              <w:rPr>
                <w:i/>
                <w:spacing w:val="-5"/>
                <w:sz w:val="24"/>
              </w:rPr>
              <w:t>NO,</w:t>
            </w:r>
          </w:p>
          <w:p w:rsidR="00C94252" w:rsidRDefault="00A33443">
            <w:pPr>
              <w:pStyle w:val="TableParagraph"/>
              <w:ind w:left="95" w:right="84"/>
              <w:jc w:val="center"/>
              <w:rPr>
                <w:i/>
                <w:sz w:val="24"/>
              </w:rPr>
            </w:pPr>
            <w:r>
              <w:rPr>
                <w:i/>
                <w:sz w:val="24"/>
              </w:rPr>
              <w:t>SE, FI,</w:t>
            </w:r>
            <w:r>
              <w:rPr>
                <w:i/>
                <w:spacing w:val="-1"/>
                <w:sz w:val="24"/>
              </w:rPr>
              <w:t xml:space="preserve"> </w:t>
            </w:r>
            <w:r>
              <w:rPr>
                <w:i/>
                <w:sz w:val="24"/>
              </w:rPr>
              <w:t>IS)</w:t>
            </w:r>
          </w:p>
        </w:tc>
        <w:tc>
          <w:tcPr>
            <w:tcW w:w="1250" w:type="dxa"/>
            <w:tcBorders>
              <w:top w:val="single" w:sz="6" w:space="0" w:color="000000"/>
              <w:bottom w:val="nil"/>
            </w:tcBorders>
          </w:tcPr>
          <w:p w:rsidR="00C94252" w:rsidRDefault="00C94252">
            <w:pPr>
              <w:pStyle w:val="TableParagraph"/>
              <w:rPr>
                <w:sz w:val="26"/>
              </w:rPr>
            </w:pPr>
          </w:p>
          <w:p w:rsidR="00C94252" w:rsidRDefault="00A33443">
            <w:pPr>
              <w:pStyle w:val="TableParagraph"/>
              <w:spacing w:before="188"/>
              <w:ind w:left="132"/>
              <w:rPr>
                <w:i/>
                <w:sz w:val="24"/>
              </w:rPr>
            </w:pPr>
            <w:r>
              <w:rPr>
                <w:i/>
                <w:sz w:val="24"/>
              </w:rPr>
              <w:t>W-Europe</w:t>
            </w:r>
          </w:p>
          <w:p w:rsidR="00C94252" w:rsidRDefault="00A33443">
            <w:pPr>
              <w:pStyle w:val="TableParagraph"/>
              <w:ind w:left="192" w:right="59" w:hanging="104"/>
              <w:rPr>
                <w:i/>
                <w:sz w:val="24"/>
              </w:rPr>
            </w:pPr>
            <w:r>
              <w:rPr>
                <w:i/>
                <w:sz w:val="24"/>
              </w:rPr>
              <w:t>- Bene(lux) (NL, BE)</w:t>
            </w:r>
          </w:p>
        </w:tc>
        <w:tc>
          <w:tcPr>
            <w:tcW w:w="1262" w:type="dxa"/>
            <w:tcBorders>
              <w:top w:val="single" w:sz="6" w:space="0" w:color="000000"/>
              <w:bottom w:val="nil"/>
            </w:tcBorders>
          </w:tcPr>
          <w:p w:rsidR="00C94252" w:rsidRDefault="00C94252">
            <w:pPr>
              <w:pStyle w:val="TableParagraph"/>
              <w:spacing w:before="5"/>
              <w:rPr>
                <w:sz w:val="30"/>
              </w:rPr>
            </w:pPr>
          </w:p>
          <w:p w:rsidR="00C94252" w:rsidRDefault="00A33443">
            <w:pPr>
              <w:pStyle w:val="TableParagraph"/>
              <w:ind w:left="140"/>
              <w:rPr>
                <w:i/>
                <w:sz w:val="24"/>
              </w:rPr>
            </w:pPr>
            <w:r>
              <w:rPr>
                <w:i/>
                <w:sz w:val="24"/>
              </w:rPr>
              <w:t>W-Europe</w:t>
            </w:r>
          </w:p>
          <w:p w:rsidR="00C94252" w:rsidRDefault="00A33443">
            <w:pPr>
              <w:pStyle w:val="TableParagraph"/>
              <w:ind w:left="85" w:right="67"/>
              <w:jc w:val="center"/>
              <w:rPr>
                <w:i/>
                <w:sz w:val="24"/>
              </w:rPr>
            </w:pPr>
            <w:r>
              <w:rPr>
                <w:i/>
                <w:sz w:val="24"/>
              </w:rPr>
              <w:t>- Germanic (DE, AT, CH)</w:t>
            </w:r>
          </w:p>
        </w:tc>
        <w:tc>
          <w:tcPr>
            <w:tcW w:w="1253" w:type="dxa"/>
            <w:tcBorders>
              <w:top w:val="single" w:sz="6" w:space="0" w:color="000000"/>
              <w:bottom w:val="nil"/>
            </w:tcBorders>
          </w:tcPr>
          <w:p w:rsidR="00C94252" w:rsidRDefault="00C94252">
            <w:pPr>
              <w:pStyle w:val="TableParagraph"/>
              <w:rPr>
                <w:sz w:val="26"/>
              </w:rPr>
            </w:pPr>
          </w:p>
          <w:p w:rsidR="00C94252" w:rsidRDefault="00A33443">
            <w:pPr>
              <w:pStyle w:val="TableParagraph"/>
              <w:spacing w:before="188"/>
              <w:ind w:left="136"/>
              <w:rPr>
                <w:i/>
                <w:sz w:val="24"/>
              </w:rPr>
            </w:pPr>
            <w:r>
              <w:rPr>
                <w:i/>
                <w:sz w:val="24"/>
              </w:rPr>
              <w:t>W-Europe</w:t>
            </w:r>
          </w:p>
          <w:p w:rsidR="00C94252" w:rsidRDefault="00A33443">
            <w:pPr>
              <w:pStyle w:val="TableParagraph"/>
              <w:ind w:left="215" w:right="181" w:firstLine="16"/>
              <w:rPr>
                <w:i/>
                <w:sz w:val="24"/>
              </w:rPr>
            </w:pPr>
            <w:r>
              <w:rPr>
                <w:i/>
                <w:sz w:val="24"/>
              </w:rPr>
              <w:t>- British (GB, IE)</w:t>
            </w:r>
          </w:p>
        </w:tc>
        <w:tc>
          <w:tcPr>
            <w:tcW w:w="1250" w:type="dxa"/>
            <w:tcBorders>
              <w:top w:val="single" w:sz="6" w:space="0" w:color="000000"/>
              <w:bottom w:val="nil"/>
            </w:tcBorders>
          </w:tcPr>
          <w:p w:rsidR="00C94252" w:rsidRDefault="00C94252">
            <w:pPr>
              <w:pStyle w:val="TableParagraph"/>
              <w:spacing w:before="5"/>
              <w:rPr>
                <w:sz w:val="30"/>
              </w:rPr>
            </w:pPr>
          </w:p>
          <w:p w:rsidR="00C94252" w:rsidRDefault="00A33443">
            <w:pPr>
              <w:pStyle w:val="TableParagraph"/>
              <w:ind w:left="333"/>
              <w:rPr>
                <w:i/>
                <w:sz w:val="24"/>
              </w:rPr>
            </w:pPr>
            <w:r>
              <w:rPr>
                <w:i/>
                <w:sz w:val="24"/>
              </w:rPr>
              <w:t>CEE -</w:t>
            </w:r>
          </w:p>
          <w:p w:rsidR="00C94252" w:rsidRDefault="00A33443">
            <w:pPr>
              <w:pStyle w:val="TableParagraph"/>
              <w:ind w:left="95" w:right="75"/>
              <w:jc w:val="center"/>
              <w:rPr>
                <w:i/>
                <w:sz w:val="24"/>
              </w:rPr>
            </w:pPr>
            <w:r>
              <w:rPr>
                <w:i/>
                <w:sz w:val="24"/>
              </w:rPr>
              <w:t>North-East (EE, LV, LT, PL)</w:t>
            </w:r>
          </w:p>
        </w:tc>
        <w:tc>
          <w:tcPr>
            <w:tcW w:w="1250" w:type="dxa"/>
            <w:tcBorders>
              <w:top w:val="single" w:sz="6" w:space="0" w:color="000000"/>
              <w:bottom w:val="nil"/>
            </w:tcBorders>
          </w:tcPr>
          <w:p w:rsidR="00C94252" w:rsidRDefault="00A33443">
            <w:pPr>
              <w:pStyle w:val="TableParagraph"/>
              <w:spacing w:before="211"/>
              <w:ind w:left="333"/>
              <w:rPr>
                <w:i/>
                <w:sz w:val="24"/>
              </w:rPr>
            </w:pPr>
            <w:r>
              <w:rPr>
                <w:i/>
                <w:sz w:val="24"/>
              </w:rPr>
              <w:t>CEE -</w:t>
            </w:r>
          </w:p>
          <w:p w:rsidR="00C94252" w:rsidRDefault="00A33443">
            <w:pPr>
              <w:pStyle w:val="TableParagraph"/>
              <w:ind w:left="95" w:right="73"/>
              <w:jc w:val="center"/>
              <w:rPr>
                <w:i/>
                <w:sz w:val="24"/>
              </w:rPr>
            </w:pPr>
            <w:r>
              <w:rPr>
                <w:i/>
                <w:sz w:val="24"/>
              </w:rPr>
              <w:t>East- Central (CZ, SK, HU, RO)</w:t>
            </w:r>
          </w:p>
        </w:tc>
        <w:tc>
          <w:tcPr>
            <w:tcW w:w="1253" w:type="dxa"/>
            <w:tcBorders>
              <w:top w:val="single" w:sz="6" w:space="0" w:color="000000"/>
              <w:bottom w:val="nil"/>
            </w:tcBorders>
          </w:tcPr>
          <w:p w:rsidR="00C94252" w:rsidRDefault="00A33443">
            <w:pPr>
              <w:pStyle w:val="TableParagraph"/>
              <w:spacing w:before="211"/>
              <w:ind w:left="333"/>
              <w:rPr>
                <w:i/>
                <w:sz w:val="24"/>
              </w:rPr>
            </w:pPr>
            <w:r>
              <w:rPr>
                <w:i/>
                <w:sz w:val="24"/>
              </w:rPr>
              <w:t>CEE -</w:t>
            </w:r>
          </w:p>
          <w:p w:rsidR="00C94252" w:rsidRDefault="00A33443">
            <w:pPr>
              <w:pStyle w:val="TableParagraph"/>
              <w:ind w:left="101" w:right="82"/>
              <w:jc w:val="center"/>
              <w:rPr>
                <w:i/>
                <w:sz w:val="24"/>
              </w:rPr>
            </w:pPr>
            <w:r>
              <w:rPr>
                <w:i/>
                <w:sz w:val="24"/>
              </w:rPr>
              <w:t>South-East (BG, SI, RS, HR, BA)</w:t>
            </w:r>
          </w:p>
        </w:tc>
        <w:tc>
          <w:tcPr>
            <w:tcW w:w="1274" w:type="dxa"/>
            <w:tcBorders>
              <w:top w:val="single" w:sz="6" w:space="0" w:color="000000"/>
              <w:bottom w:val="nil"/>
            </w:tcBorders>
          </w:tcPr>
          <w:p w:rsidR="00C94252" w:rsidRDefault="00A33443">
            <w:pPr>
              <w:pStyle w:val="TableParagraph"/>
              <w:spacing w:before="74"/>
              <w:ind w:left="204" w:right="186"/>
              <w:jc w:val="center"/>
              <w:rPr>
                <w:i/>
                <w:sz w:val="24"/>
              </w:rPr>
            </w:pPr>
            <w:r>
              <w:rPr>
                <w:i/>
                <w:sz w:val="24"/>
              </w:rPr>
              <w:t>South- Europe (FR, GR, IT, PT,</w:t>
            </w:r>
          </w:p>
          <w:p w:rsidR="00C94252" w:rsidRDefault="00A33443">
            <w:pPr>
              <w:pStyle w:val="TableParagraph"/>
              <w:ind w:left="204" w:right="185"/>
              <w:jc w:val="center"/>
              <w:rPr>
                <w:i/>
                <w:sz w:val="24"/>
              </w:rPr>
            </w:pPr>
            <w:r>
              <w:rPr>
                <w:i/>
                <w:sz w:val="24"/>
              </w:rPr>
              <w:t>MT, ES, IL)</w:t>
            </w:r>
          </w:p>
        </w:tc>
        <w:tc>
          <w:tcPr>
            <w:tcW w:w="837" w:type="dxa"/>
            <w:tcBorders>
              <w:top w:val="single" w:sz="6" w:space="0" w:color="000000"/>
              <w:bottom w:val="nil"/>
            </w:tcBorders>
          </w:tcPr>
          <w:p w:rsidR="00C94252" w:rsidRDefault="00C94252">
            <w:pPr>
              <w:pStyle w:val="TableParagraph"/>
              <w:spacing w:before="7"/>
              <w:rPr>
                <w:sz w:val="29"/>
              </w:rPr>
            </w:pPr>
          </w:p>
          <w:p w:rsidR="00C94252" w:rsidRDefault="00A33443">
            <w:pPr>
              <w:pStyle w:val="TableParagraph"/>
              <w:ind w:left="314" w:right="292"/>
              <w:jc w:val="center"/>
              <w:rPr>
                <w:i/>
                <w:sz w:val="24"/>
              </w:rPr>
            </w:pPr>
            <w:r>
              <w:rPr>
                <w:i/>
                <w:sz w:val="24"/>
              </w:rPr>
              <w:t>p.</w:t>
            </w:r>
          </w:p>
        </w:tc>
      </w:tr>
      <w:tr w:rsidR="00C94252">
        <w:trPr>
          <w:trHeight w:val="809"/>
        </w:trPr>
        <w:tc>
          <w:tcPr>
            <w:tcW w:w="581"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left="9"/>
              <w:jc w:val="center"/>
              <w:rPr>
                <w:sz w:val="24"/>
              </w:rPr>
            </w:pPr>
            <w:r>
              <w:rPr>
                <w:sz w:val="24"/>
              </w:rPr>
              <w:t>8</w:t>
            </w:r>
          </w:p>
        </w:tc>
        <w:tc>
          <w:tcPr>
            <w:tcW w:w="2258" w:type="dxa"/>
            <w:tcBorders>
              <w:top w:val="nil"/>
              <w:bottom w:val="single" w:sz="6" w:space="0" w:color="000000"/>
              <w:right w:val="single" w:sz="8" w:space="0" w:color="000000"/>
            </w:tcBorders>
          </w:tcPr>
          <w:p w:rsidR="00C94252" w:rsidRDefault="00A33443">
            <w:pPr>
              <w:pStyle w:val="TableParagraph"/>
              <w:spacing w:before="130"/>
              <w:ind w:left="81" w:right="62"/>
              <w:rPr>
                <w:sz w:val="24"/>
              </w:rPr>
            </w:pPr>
            <w:r>
              <w:rPr>
                <w:sz w:val="24"/>
              </w:rPr>
              <w:t>Lack of identification with the project</w:t>
            </w:r>
          </w:p>
        </w:tc>
        <w:tc>
          <w:tcPr>
            <w:tcW w:w="1253" w:type="dxa"/>
            <w:tcBorders>
              <w:top w:val="nil"/>
              <w:left w:val="single" w:sz="8" w:space="0" w:color="000000"/>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8"/>
              <w:jc w:val="right"/>
              <w:rPr>
                <w:sz w:val="24"/>
              </w:rPr>
            </w:pPr>
            <w:r>
              <w:rPr>
                <w:sz w:val="24"/>
              </w:rPr>
              <w:t>3,36</w:t>
            </w:r>
          </w:p>
        </w:tc>
        <w:tc>
          <w:tcPr>
            <w:tcW w:w="1250" w:type="dxa"/>
            <w:tcBorders>
              <w:top w:val="nil"/>
              <w:bottom w:val="single" w:sz="6" w:space="0" w:color="000000"/>
              <w:right w:val="single" w:sz="8" w:space="0" w:color="000000"/>
            </w:tcBorders>
          </w:tcPr>
          <w:p w:rsidR="00C94252" w:rsidRDefault="00C94252">
            <w:pPr>
              <w:pStyle w:val="TableParagraph"/>
              <w:spacing w:before="2"/>
              <w:rPr>
                <w:sz w:val="23"/>
              </w:rPr>
            </w:pPr>
          </w:p>
          <w:p w:rsidR="00C94252" w:rsidRDefault="00A33443">
            <w:pPr>
              <w:pStyle w:val="TableParagraph"/>
              <w:spacing w:before="1"/>
              <w:ind w:right="62"/>
              <w:jc w:val="right"/>
              <w:rPr>
                <w:sz w:val="24"/>
              </w:rPr>
            </w:pPr>
            <w:r>
              <w:rPr>
                <w:sz w:val="24"/>
              </w:rPr>
              <w:t>4,00</w:t>
            </w:r>
          </w:p>
        </w:tc>
        <w:tc>
          <w:tcPr>
            <w:tcW w:w="1262" w:type="dxa"/>
            <w:tcBorders>
              <w:top w:val="nil"/>
              <w:left w:val="single" w:sz="8" w:space="0" w:color="000000"/>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5"/>
              <w:jc w:val="right"/>
              <w:rPr>
                <w:sz w:val="24"/>
              </w:rPr>
            </w:pPr>
            <w:r>
              <w:rPr>
                <w:sz w:val="24"/>
              </w:rPr>
              <w:t>3,78</w:t>
            </w:r>
          </w:p>
        </w:tc>
        <w:tc>
          <w:tcPr>
            <w:tcW w:w="1253"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5"/>
              <w:jc w:val="right"/>
              <w:rPr>
                <w:sz w:val="24"/>
              </w:rPr>
            </w:pPr>
            <w:r>
              <w:rPr>
                <w:sz w:val="24"/>
              </w:rPr>
              <w:t>4,40</w:t>
            </w:r>
          </w:p>
        </w:tc>
        <w:tc>
          <w:tcPr>
            <w:tcW w:w="1250"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2"/>
              <w:jc w:val="right"/>
              <w:rPr>
                <w:sz w:val="24"/>
              </w:rPr>
            </w:pPr>
            <w:r>
              <w:rPr>
                <w:sz w:val="24"/>
              </w:rPr>
              <w:t>3,71</w:t>
            </w:r>
          </w:p>
        </w:tc>
        <w:tc>
          <w:tcPr>
            <w:tcW w:w="1250"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2"/>
              <w:jc w:val="right"/>
              <w:rPr>
                <w:sz w:val="24"/>
              </w:rPr>
            </w:pPr>
            <w:r>
              <w:rPr>
                <w:sz w:val="24"/>
              </w:rPr>
              <w:t>3,83</w:t>
            </w:r>
          </w:p>
        </w:tc>
        <w:tc>
          <w:tcPr>
            <w:tcW w:w="1253"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4"/>
              <w:jc w:val="right"/>
              <w:rPr>
                <w:sz w:val="24"/>
              </w:rPr>
            </w:pPr>
            <w:r>
              <w:rPr>
                <w:sz w:val="24"/>
              </w:rPr>
              <w:t>3,25</w:t>
            </w:r>
          </w:p>
        </w:tc>
        <w:tc>
          <w:tcPr>
            <w:tcW w:w="1274"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3"/>
              <w:jc w:val="right"/>
              <w:rPr>
                <w:sz w:val="24"/>
              </w:rPr>
            </w:pPr>
            <w:r>
              <w:rPr>
                <w:sz w:val="24"/>
              </w:rPr>
              <w:t>3,33</w:t>
            </w:r>
          </w:p>
        </w:tc>
        <w:tc>
          <w:tcPr>
            <w:tcW w:w="837" w:type="dxa"/>
            <w:tcBorders>
              <w:top w:val="nil"/>
              <w:bottom w:val="single" w:sz="6" w:space="0" w:color="000000"/>
            </w:tcBorders>
          </w:tcPr>
          <w:p w:rsidR="00C94252" w:rsidRDefault="00C94252">
            <w:pPr>
              <w:pStyle w:val="TableParagraph"/>
              <w:spacing w:before="2"/>
              <w:rPr>
                <w:sz w:val="23"/>
              </w:rPr>
            </w:pPr>
          </w:p>
          <w:p w:rsidR="00C94252" w:rsidRDefault="00A33443">
            <w:pPr>
              <w:pStyle w:val="TableParagraph"/>
              <w:spacing w:before="1"/>
              <w:ind w:right="60"/>
              <w:jc w:val="right"/>
              <w:rPr>
                <w:sz w:val="24"/>
              </w:rPr>
            </w:pPr>
            <w:r>
              <w:rPr>
                <w:sz w:val="24"/>
              </w:rPr>
              <w:t>0,638</w:t>
            </w:r>
          </w:p>
        </w:tc>
      </w:tr>
      <w:tr w:rsidR="00C94252">
        <w:trPr>
          <w:trHeight w:val="762"/>
        </w:trPr>
        <w:tc>
          <w:tcPr>
            <w:tcW w:w="581"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left="9"/>
              <w:jc w:val="center"/>
              <w:rPr>
                <w:sz w:val="24"/>
              </w:rPr>
            </w:pPr>
            <w:r>
              <w:rPr>
                <w:sz w:val="24"/>
              </w:rPr>
              <w:t>9</w:t>
            </w:r>
          </w:p>
        </w:tc>
        <w:tc>
          <w:tcPr>
            <w:tcW w:w="2258" w:type="dxa"/>
            <w:tcBorders>
              <w:top w:val="single" w:sz="6" w:space="0" w:color="000000"/>
              <w:bottom w:val="single" w:sz="8"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left="81"/>
              <w:rPr>
                <w:sz w:val="24"/>
              </w:rPr>
            </w:pPr>
            <w:r>
              <w:rPr>
                <w:sz w:val="24"/>
              </w:rPr>
              <w:t>Lack of</w:t>
            </w:r>
            <w:r>
              <w:rPr>
                <w:spacing w:val="58"/>
                <w:sz w:val="24"/>
              </w:rPr>
              <w:t xml:space="preserve"> </w:t>
            </w:r>
            <w:r>
              <w:rPr>
                <w:sz w:val="24"/>
              </w:rPr>
              <w:t>trust</w:t>
            </w:r>
          </w:p>
        </w:tc>
        <w:tc>
          <w:tcPr>
            <w:tcW w:w="1253" w:type="dxa"/>
            <w:tcBorders>
              <w:top w:val="single" w:sz="6" w:space="0" w:color="000000"/>
              <w:left w:val="single" w:sz="8"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8"/>
              <w:jc w:val="right"/>
              <w:rPr>
                <w:sz w:val="24"/>
              </w:rPr>
            </w:pPr>
            <w:r>
              <w:rPr>
                <w:sz w:val="24"/>
              </w:rPr>
              <w:t>3,36</w:t>
            </w:r>
          </w:p>
        </w:tc>
        <w:tc>
          <w:tcPr>
            <w:tcW w:w="1250" w:type="dxa"/>
            <w:tcBorders>
              <w:top w:val="single" w:sz="6" w:space="0" w:color="000000"/>
              <w:bottom w:val="single" w:sz="8" w:space="0" w:color="000000"/>
              <w:right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4,33</w:t>
            </w:r>
          </w:p>
        </w:tc>
        <w:tc>
          <w:tcPr>
            <w:tcW w:w="1262" w:type="dxa"/>
            <w:tcBorders>
              <w:top w:val="single" w:sz="6" w:space="0" w:color="000000"/>
              <w:left w:val="single" w:sz="8"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4,00</w:t>
            </w:r>
          </w:p>
        </w:tc>
        <w:tc>
          <w:tcPr>
            <w:tcW w:w="1253"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5"/>
              <w:jc w:val="right"/>
              <w:rPr>
                <w:sz w:val="24"/>
              </w:rPr>
            </w:pPr>
            <w:r>
              <w:rPr>
                <w:sz w:val="24"/>
              </w:rPr>
              <w:t>4,00</w:t>
            </w:r>
          </w:p>
        </w:tc>
        <w:tc>
          <w:tcPr>
            <w:tcW w:w="1250"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4,25</w:t>
            </w:r>
          </w:p>
        </w:tc>
        <w:tc>
          <w:tcPr>
            <w:tcW w:w="1250"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2"/>
              <w:jc w:val="right"/>
              <w:rPr>
                <w:sz w:val="24"/>
              </w:rPr>
            </w:pPr>
            <w:r>
              <w:rPr>
                <w:sz w:val="24"/>
              </w:rPr>
              <w:t>3,67</w:t>
            </w:r>
          </w:p>
        </w:tc>
        <w:tc>
          <w:tcPr>
            <w:tcW w:w="1253"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4"/>
              <w:jc w:val="right"/>
              <w:rPr>
                <w:sz w:val="24"/>
              </w:rPr>
            </w:pPr>
            <w:r>
              <w:rPr>
                <w:sz w:val="24"/>
              </w:rPr>
              <w:t>4,43</w:t>
            </w:r>
          </w:p>
        </w:tc>
        <w:tc>
          <w:tcPr>
            <w:tcW w:w="1274"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3"/>
              <w:jc w:val="right"/>
              <w:rPr>
                <w:sz w:val="24"/>
              </w:rPr>
            </w:pPr>
            <w:r>
              <w:rPr>
                <w:sz w:val="24"/>
              </w:rPr>
              <w:t>3,88</w:t>
            </w:r>
          </w:p>
        </w:tc>
        <w:tc>
          <w:tcPr>
            <w:tcW w:w="837" w:type="dxa"/>
            <w:tcBorders>
              <w:top w:val="single" w:sz="6" w:space="0" w:color="000000"/>
              <w:bottom w:val="single" w:sz="8" w:space="0" w:color="000000"/>
            </w:tcBorders>
          </w:tcPr>
          <w:p w:rsidR="00C94252" w:rsidRDefault="00C94252">
            <w:pPr>
              <w:pStyle w:val="TableParagraph"/>
              <w:spacing w:before="10"/>
              <w:rPr>
                <w:sz w:val="20"/>
              </w:rPr>
            </w:pPr>
          </w:p>
          <w:p w:rsidR="00C94252" w:rsidRDefault="00A33443">
            <w:pPr>
              <w:pStyle w:val="TableParagraph"/>
              <w:ind w:right="60"/>
              <w:jc w:val="right"/>
              <w:rPr>
                <w:sz w:val="24"/>
              </w:rPr>
            </w:pPr>
            <w:r>
              <w:rPr>
                <w:sz w:val="24"/>
              </w:rPr>
              <w:t>0,795</w:t>
            </w:r>
          </w:p>
        </w:tc>
      </w:tr>
    </w:tbl>
    <w:p w:rsidR="00C94252" w:rsidRDefault="00C94252">
      <w:pPr>
        <w:jc w:val="right"/>
        <w:rPr>
          <w:sz w:val="24"/>
        </w:rPr>
        <w:sectPr w:rsidR="00C94252">
          <w:pgSz w:w="16850" w:h="11900" w:orient="landscape"/>
          <w:pgMar w:top="1100" w:right="1460" w:bottom="860" w:left="1300" w:header="0" w:footer="671" w:gutter="0"/>
          <w:cols w:space="708"/>
        </w:sectPr>
      </w:pPr>
    </w:p>
    <w:p w:rsidR="00C94252" w:rsidRDefault="00A33443">
      <w:pPr>
        <w:pStyle w:val="Overskrift1"/>
        <w:numPr>
          <w:ilvl w:val="1"/>
          <w:numId w:val="3"/>
        </w:numPr>
        <w:tabs>
          <w:tab w:val="left" w:pos="478"/>
        </w:tabs>
        <w:spacing w:before="174"/>
        <w:ind w:left="477" w:hanging="361"/>
      </w:pPr>
      <w:r>
        <w:t>Participatory wind energy planning and its regional variation</w:t>
      </w:r>
    </w:p>
    <w:p w:rsidR="00C94252" w:rsidRDefault="00A33443">
      <w:pPr>
        <w:pStyle w:val="Brdtekst"/>
        <w:spacing w:before="116"/>
        <w:ind w:left="116" w:right="108"/>
        <w:jc w:val="both"/>
      </w:pPr>
      <w:r>
        <w:t>Based on the review of the available literature, certain variables related to planning can be expected to be among the key factors leading to higher acceptance. Therefore, we first take a closer look at the descriptive statistics of these planning factors,</w:t>
      </w:r>
      <w:r>
        <w:t xml:space="preserve"> including their most relevant (significant) differences across Europe (Section 4.2).</w:t>
      </w:r>
    </w:p>
    <w:p w:rsidR="00C94252" w:rsidRDefault="00C94252">
      <w:pPr>
        <w:pStyle w:val="Brdtekst"/>
        <w:spacing w:before="3"/>
        <w:rPr>
          <w:sz w:val="21"/>
        </w:rPr>
      </w:pPr>
    </w:p>
    <w:p w:rsidR="00C94252" w:rsidRDefault="00A33443">
      <w:pPr>
        <w:pStyle w:val="Overskrift2"/>
        <w:numPr>
          <w:ilvl w:val="2"/>
          <w:numId w:val="3"/>
        </w:numPr>
        <w:tabs>
          <w:tab w:val="left" w:pos="837"/>
        </w:tabs>
      </w:pPr>
      <w:r>
        <w:t>Strategic</w:t>
      </w:r>
      <w:r>
        <w:rPr>
          <w:spacing w:val="-1"/>
        </w:rPr>
        <w:t xml:space="preserve"> </w:t>
      </w:r>
      <w:r>
        <w:t>planning</w:t>
      </w:r>
    </w:p>
    <w:p w:rsidR="00C94252" w:rsidRDefault="00A33443">
      <w:pPr>
        <w:spacing w:before="115"/>
        <w:ind w:left="116" w:right="114"/>
        <w:jc w:val="both"/>
        <w:rPr>
          <w:sz w:val="24"/>
        </w:rPr>
      </w:pPr>
      <w:r>
        <w:rPr>
          <w:sz w:val="24"/>
        </w:rPr>
        <w:t xml:space="preserve">At the strategic planning level, regional differences in two variables 1) the general </w:t>
      </w:r>
      <w:r>
        <w:rPr>
          <w:i/>
          <w:sz w:val="24"/>
        </w:rPr>
        <w:t xml:space="preserve">planning pattern </w:t>
      </w:r>
      <w:r>
        <w:rPr>
          <w:sz w:val="24"/>
        </w:rPr>
        <w:t xml:space="preserve">and 2) the </w:t>
      </w:r>
      <w:r>
        <w:rPr>
          <w:i/>
          <w:sz w:val="24"/>
        </w:rPr>
        <w:t xml:space="preserve">communication quality </w:t>
      </w:r>
      <w:r>
        <w:rPr>
          <w:sz w:val="24"/>
        </w:rPr>
        <w:t xml:space="preserve">turned out to </w:t>
      </w:r>
      <w:r>
        <w:rPr>
          <w:sz w:val="24"/>
        </w:rPr>
        <w:t>be statistically significant.</w:t>
      </w:r>
    </w:p>
    <w:p w:rsidR="00C94252" w:rsidRDefault="00A33443">
      <w:pPr>
        <w:pStyle w:val="Listeavsnitt"/>
        <w:numPr>
          <w:ilvl w:val="3"/>
          <w:numId w:val="3"/>
        </w:numPr>
        <w:tabs>
          <w:tab w:val="left" w:pos="838"/>
        </w:tabs>
        <w:spacing w:before="161"/>
        <w:rPr>
          <w:i/>
          <w:sz w:val="24"/>
        </w:rPr>
      </w:pPr>
      <w:r>
        <w:rPr>
          <w:i/>
          <w:sz w:val="24"/>
        </w:rPr>
        <w:t>Planning pattern</w:t>
      </w:r>
    </w:p>
    <w:p w:rsidR="00C94252" w:rsidRDefault="00A33443">
      <w:pPr>
        <w:spacing w:before="120"/>
        <w:ind w:left="116" w:right="111"/>
        <w:jc w:val="both"/>
        <w:rPr>
          <w:sz w:val="24"/>
        </w:rPr>
      </w:pPr>
      <w:r>
        <w:rPr>
          <w:sz w:val="24"/>
        </w:rPr>
        <w:t xml:space="preserve">The respondents were asked to characterize the situation of strategic planning of WE in their country based on a set of pre-defined topics (Q6, see </w:t>
      </w:r>
      <w:r>
        <w:rPr>
          <w:b/>
          <w:sz w:val="24"/>
        </w:rPr>
        <w:t>Appendix A</w:t>
      </w:r>
      <w:r>
        <w:rPr>
          <w:sz w:val="24"/>
        </w:rPr>
        <w:t>). The most common crucial aspects of strategic pla</w:t>
      </w:r>
      <w:r>
        <w:rPr>
          <w:sz w:val="24"/>
        </w:rPr>
        <w:t xml:space="preserve">nning are the definition of the </w:t>
      </w:r>
      <w:r>
        <w:rPr>
          <w:i/>
          <w:sz w:val="24"/>
        </w:rPr>
        <w:t xml:space="preserve">target amount </w:t>
      </w:r>
      <w:r>
        <w:rPr>
          <w:sz w:val="24"/>
        </w:rPr>
        <w:t xml:space="preserve">of renewable energy, </w:t>
      </w:r>
      <w:r>
        <w:rPr>
          <w:i/>
          <w:sz w:val="24"/>
        </w:rPr>
        <w:t>priority areas</w:t>
      </w:r>
      <w:r>
        <w:rPr>
          <w:sz w:val="24"/>
        </w:rPr>
        <w:t xml:space="preserve">, and </w:t>
      </w:r>
      <w:r>
        <w:rPr>
          <w:i/>
          <w:sz w:val="24"/>
        </w:rPr>
        <w:t xml:space="preserve">participatory procedures </w:t>
      </w:r>
      <w:r>
        <w:rPr>
          <w:sz w:val="24"/>
        </w:rPr>
        <w:t>for involving the public (</w:t>
      </w:r>
      <w:r>
        <w:rPr>
          <w:b/>
          <w:sz w:val="24"/>
        </w:rPr>
        <w:t>Fig. 3</w:t>
      </w:r>
      <w:r>
        <w:rPr>
          <w:sz w:val="24"/>
        </w:rPr>
        <w:t xml:space="preserve">, details in </w:t>
      </w:r>
      <w:r>
        <w:rPr>
          <w:b/>
          <w:sz w:val="24"/>
        </w:rPr>
        <w:t>Appendix B: Table B.2</w:t>
      </w:r>
      <w:r>
        <w:rPr>
          <w:sz w:val="24"/>
        </w:rPr>
        <w:t>).</w:t>
      </w:r>
    </w:p>
    <w:p w:rsidR="00C94252" w:rsidRDefault="00A33443">
      <w:pPr>
        <w:pStyle w:val="Brdtekst"/>
        <w:spacing w:before="162"/>
        <w:ind w:left="116" w:right="113"/>
        <w:jc w:val="both"/>
      </w:pPr>
      <w:r>
        <w:t xml:space="preserve">Significant differences among </w:t>
      </w:r>
      <w:r>
        <w:rPr>
          <w:i/>
        </w:rPr>
        <w:t xml:space="preserve">large regions </w:t>
      </w:r>
      <w:r>
        <w:t xml:space="preserve">occur in terms of </w:t>
      </w:r>
      <w:r>
        <w:rPr>
          <w:i/>
        </w:rPr>
        <w:t xml:space="preserve">provision of communication materials </w:t>
      </w:r>
      <w:r>
        <w:t xml:space="preserve">(p=0.013) and </w:t>
      </w:r>
      <w:r>
        <w:rPr>
          <w:i/>
        </w:rPr>
        <w:t xml:space="preserve">definition of priority areas </w:t>
      </w:r>
      <w:r>
        <w:t xml:space="preserve">(p=0.015), but also in defining </w:t>
      </w:r>
      <w:r>
        <w:rPr>
          <w:i/>
        </w:rPr>
        <w:t>areas for not</w:t>
      </w:r>
      <w:r>
        <w:rPr>
          <w:i/>
          <w:spacing w:val="-16"/>
        </w:rPr>
        <w:t xml:space="preserve"> </w:t>
      </w:r>
      <w:r>
        <w:rPr>
          <w:i/>
        </w:rPr>
        <w:t>developing</w:t>
      </w:r>
      <w:r>
        <w:rPr>
          <w:i/>
          <w:spacing w:val="-11"/>
        </w:rPr>
        <w:t xml:space="preserve"> </w:t>
      </w:r>
      <w:r>
        <w:rPr>
          <w:i/>
        </w:rPr>
        <w:t>WE</w:t>
      </w:r>
      <w:r>
        <w:rPr>
          <w:i/>
          <w:spacing w:val="-14"/>
        </w:rPr>
        <w:t xml:space="preserve"> </w:t>
      </w:r>
      <w:r>
        <w:t>(</w:t>
      </w:r>
      <w:r>
        <w:rPr>
          <w:b/>
        </w:rPr>
        <w:t>Table</w:t>
      </w:r>
      <w:r>
        <w:rPr>
          <w:b/>
          <w:spacing w:val="-15"/>
        </w:rPr>
        <w:t xml:space="preserve"> </w:t>
      </w:r>
      <w:r>
        <w:rPr>
          <w:b/>
        </w:rPr>
        <w:t>B.2</w:t>
      </w:r>
      <w:r>
        <w:t>).</w:t>
      </w:r>
      <w:r>
        <w:rPr>
          <w:spacing w:val="-17"/>
        </w:rPr>
        <w:t xml:space="preserve"> </w:t>
      </w:r>
      <w:r>
        <w:t>Providing</w:t>
      </w:r>
      <w:r>
        <w:rPr>
          <w:spacing w:val="-15"/>
        </w:rPr>
        <w:t xml:space="preserve"> </w:t>
      </w:r>
      <w:r>
        <w:t>communication</w:t>
      </w:r>
      <w:r>
        <w:rPr>
          <w:spacing w:val="-15"/>
        </w:rPr>
        <w:t xml:space="preserve"> </w:t>
      </w:r>
      <w:r>
        <w:t>materials</w:t>
      </w:r>
      <w:r>
        <w:rPr>
          <w:spacing w:val="-13"/>
        </w:rPr>
        <w:t xml:space="preserve"> </w:t>
      </w:r>
      <w:r>
        <w:t>seems</w:t>
      </w:r>
      <w:r>
        <w:rPr>
          <w:spacing w:val="-14"/>
        </w:rPr>
        <w:t xml:space="preserve"> </w:t>
      </w:r>
      <w:r>
        <w:t>to</w:t>
      </w:r>
      <w:r>
        <w:rPr>
          <w:spacing w:val="-16"/>
        </w:rPr>
        <w:t xml:space="preserve"> </w:t>
      </w:r>
      <w:r>
        <w:t>be</w:t>
      </w:r>
      <w:r>
        <w:rPr>
          <w:spacing w:val="-16"/>
        </w:rPr>
        <w:t xml:space="preserve"> </w:t>
      </w:r>
      <w:r>
        <w:t>more</w:t>
      </w:r>
      <w:r>
        <w:rPr>
          <w:spacing w:val="-14"/>
        </w:rPr>
        <w:t xml:space="preserve"> </w:t>
      </w:r>
      <w:r>
        <w:t>common in</w:t>
      </w:r>
      <w:r>
        <w:rPr>
          <w:spacing w:val="-12"/>
        </w:rPr>
        <w:t xml:space="preserve"> </w:t>
      </w:r>
      <w:r>
        <w:t>Western</w:t>
      </w:r>
      <w:r>
        <w:rPr>
          <w:spacing w:val="-11"/>
        </w:rPr>
        <w:t xml:space="preserve"> </w:t>
      </w:r>
      <w:r>
        <w:t>and</w:t>
      </w:r>
      <w:r>
        <w:rPr>
          <w:spacing w:val="-11"/>
        </w:rPr>
        <w:t xml:space="preserve"> </w:t>
      </w:r>
      <w:r>
        <w:t>Northern</w:t>
      </w:r>
      <w:r>
        <w:rPr>
          <w:spacing w:val="-12"/>
        </w:rPr>
        <w:t xml:space="preserve"> </w:t>
      </w:r>
      <w:r>
        <w:t>Europe,</w:t>
      </w:r>
      <w:r>
        <w:rPr>
          <w:spacing w:val="-10"/>
        </w:rPr>
        <w:t xml:space="preserve"> </w:t>
      </w:r>
      <w:r>
        <w:t>whereas</w:t>
      </w:r>
      <w:r>
        <w:rPr>
          <w:spacing w:val="-11"/>
        </w:rPr>
        <w:t xml:space="preserve"> </w:t>
      </w:r>
      <w:r>
        <w:t>least</w:t>
      </w:r>
      <w:r>
        <w:rPr>
          <w:spacing w:val="-10"/>
        </w:rPr>
        <w:t xml:space="preserve"> </w:t>
      </w:r>
      <w:r>
        <w:t>experienced</w:t>
      </w:r>
      <w:r>
        <w:rPr>
          <w:spacing w:val="-11"/>
        </w:rPr>
        <w:t xml:space="preserve"> </w:t>
      </w:r>
      <w:r>
        <w:t>in</w:t>
      </w:r>
      <w:r>
        <w:rPr>
          <w:spacing w:val="-11"/>
        </w:rPr>
        <w:t xml:space="preserve"> </w:t>
      </w:r>
      <w:r>
        <w:t>the</w:t>
      </w:r>
      <w:r>
        <w:rPr>
          <w:spacing w:val="-12"/>
        </w:rPr>
        <w:t xml:space="preserve"> </w:t>
      </w:r>
      <w:r>
        <w:t>CEE</w:t>
      </w:r>
      <w:r>
        <w:rPr>
          <w:spacing w:val="-12"/>
        </w:rPr>
        <w:t xml:space="preserve"> </w:t>
      </w:r>
      <w:r>
        <w:t>region.</w:t>
      </w:r>
      <w:r>
        <w:rPr>
          <w:spacing w:val="-11"/>
        </w:rPr>
        <w:t xml:space="preserve"> </w:t>
      </w:r>
      <w:r>
        <w:t>Among</w:t>
      </w:r>
      <w:r>
        <w:rPr>
          <w:spacing w:val="-13"/>
        </w:rPr>
        <w:t xml:space="preserve"> </w:t>
      </w:r>
      <w:r>
        <w:t>the</w:t>
      </w:r>
      <w:r>
        <w:rPr>
          <w:spacing w:val="-12"/>
        </w:rPr>
        <w:t xml:space="preserve"> </w:t>
      </w:r>
      <w:r>
        <w:t xml:space="preserve">sub- regions, only the ‘priority areas’ variable differed significantly (post-hoc p=0.085), where the pattern is similar to the large regions: priority areas seem to be defined more commonly in the Southern Europe </w:t>
      </w:r>
      <w:r>
        <w:t>(FR, GR, IT, PT, MT, ES, IL) than in the Western European Germanic sub- region (DE, AT,</w:t>
      </w:r>
      <w:r>
        <w:rPr>
          <w:spacing w:val="-2"/>
        </w:rPr>
        <w:t xml:space="preserve"> </w:t>
      </w:r>
      <w:r>
        <w:t>CH).</w:t>
      </w:r>
    </w:p>
    <w:p w:rsidR="00C94252" w:rsidRDefault="00C94252">
      <w:pPr>
        <w:jc w:val="both"/>
        <w:sectPr w:rsidR="00C94252">
          <w:footerReference w:type="default" r:id="rId22"/>
          <w:pgSz w:w="11900" w:h="16850"/>
          <w:pgMar w:top="1600" w:right="1300" w:bottom="940" w:left="1300" w:header="0" w:footer="751" w:gutter="0"/>
          <w:pgNumType w:start="13"/>
          <w:cols w:space="708"/>
        </w:sectPr>
      </w:pPr>
    </w:p>
    <w:p w:rsidR="00C94252" w:rsidRDefault="00A33443">
      <w:pPr>
        <w:pStyle w:val="Brdtekst"/>
        <w:ind w:left="274" w:right="-15"/>
        <w:rPr>
          <w:sz w:val="20"/>
        </w:rPr>
      </w:pPr>
      <w:r>
        <w:rPr>
          <w:noProof/>
          <w:sz w:val="20"/>
          <w:lang w:val="nb-NO" w:eastAsia="nb-NO"/>
        </w:rPr>
        <w:drawing>
          <wp:inline distT="0" distB="0" distL="0" distR="0">
            <wp:extent cx="5707098" cy="457657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5707098" cy="4576572"/>
                    </a:xfrm>
                    <a:prstGeom prst="rect">
                      <a:avLst/>
                    </a:prstGeom>
                  </pic:spPr>
                </pic:pic>
              </a:graphicData>
            </a:graphic>
          </wp:inline>
        </w:drawing>
      </w:r>
    </w:p>
    <w:p w:rsidR="00C94252" w:rsidRDefault="00A33443">
      <w:pPr>
        <w:spacing w:before="102"/>
        <w:ind w:left="116" w:right="115"/>
        <w:jc w:val="both"/>
        <w:rPr>
          <w:b/>
          <w:sz w:val="24"/>
        </w:rPr>
      </w:pPr>
      <w:r>
        <w:rPr>
          <w:b/>
          <w:sz w:val="24"/>
        </w:rPr>
        <w:t>Figure</w:t>
      </w:r>
      <w:r>
        <w:rPr>
          <w:b/>
          <w:spacing w:val="-5"/>
          <w:sz w:val="24"/>
        </w:rPr>
        <w:t xml:space="preserve"> </w:t>
      </w:r>
      <w:r>
        <w:rPr>
          <w:b/>
          <w:sz w:val="24"/>
        </w:rPr>
        <w:t>3</w:t>
      </w:r>
      <w:r>
        <w:rPr>
          <w:sz w:val="24"/>
        </w:rPr>
        <w:t>.</w:t>
      </w:r>
      <w:r>
        <w:rPr>
          <w:spacing w:val="-4"/>
          <w:sz w:val="24"/>
        </w:rPr>
        <w:t xml:space="preserve"> </w:t>
      </w:r>
      <w:r>
        <w:rPr>
          <w:sz w:val="24"/>
        </w:rPr>
        <w:t>Ranking</w:t>
      </w:r>
      <w:r>
        <w:rPr>
          <w:spacing w:val="-5"/>
          <w:sz w:val="24"/>
        </w:rPr>
        <w:t xml:space="preserve"> </w:t>
      </w:r>
      <w:r>
        <w:rPr>
          <w:sz w:val="24"/>
        </w:rPr>
        <w:t>of</w:t>
      </w:r>
      <w:r>
        <w:rPr>
          <w:spacing w:val="-5"/>
          <w:sz w:val="24"/>
        </w:rPr>
        <w:t xml:space="preserve"> </w:t>
      </w:r>
      <w:r>
        <w:rPr>
          <w:sz w:val="24"/>
        </w:rPr>
        <w:t>strategic</w:t>
      </w:r>
      <w:r>
        <w:rPr>
          <w:spacing w:val="-2"/>
          <w:sz w:val="24"/>
        </w:rPr>
        <w:t xml:space="preserve"> </w:t>
      </w:r>
      <w:r>
        <w:rPr>
          <w:sz w:val="24"/>
        </w:rPr>
        <w:t>planning</w:t>
      </w:r>
      <w:r>
        <w:rPr>
          <w:spacing w:val="-6"/>
          <w:sz w:val="24"/>
        </w:rPr>
        <w:t xml:space="preserve"> </w:t>
      </w:r>
      <w:r>
        <w:rPr>
          <w:sz w:val="24"/>
        </w:rPr>
        <w:t>forms:</w:t>
      </w:r>
      <w:r>
        <w:rPr>
          <w:spacing w:val="-3"/>
          <w:sz w:val="24"/>
        </w:rPr>
        <w:t xml:space="preserve"> </w:t>
      </w:r>
      <w:r>
        <w:rPr>
          <w:sz w:val="24"/>
        </w:rPr>
        <w:t>summary</w:t>
      </w:r>
      <w:r>
        <w:rPr>
          <w:spacing w:val="-4"/>
          <w:sz w:val="24"/>
        </w:rPr>
        <w:t xml:space="preserve"> </w:t>
      </w:r>
      <w:r>
        <w:rPr>
          <w:sz w:val="24"/>
        </w:rPr>
        <w:t>and</w:t>
      </w:r>
      <w:r>
        <w:rPr>
          <w:spacing w:val="-4"/>
          <w:sz w:val="24"/>
        </w:rPr>
        <w:t xml:space="preserve"> </w:t>
      </w:r>
      <w:r>
        <w:rPr>
          <w:sz w:val="24"/>
        </w:rPr>
        <w:t>regional</w:t>
      </w:r>
      <w:r>
        <w:rPr>
          <w:spacing w:val="-3"/>
          <w:sz w:val="24"/>
        </w:rPr>
        <w:t xml:space="preserve"> </w:t>
      </w:r>
      <w:r>
        <w:rPr>
          <w:sz w:val="24"/>
        </w:rPr>
        <w:t>differences among</w:t>
      </w:r>
      <w:r>
        <w:rPr>
          <w:spacing w:val="-5"/>
          <w:sz w:val="24"/>
        </w:rPr>
        <w:t xml:space="preserve"> </w:t>
      </w:r>
      <w:r>
        <w:rPr>
          <w:sz w:val="24"/>
        </w:rPr>
        <w:t xml:space="preserve">large regions. Details in </w:t>
      </w:r>
      <w:r>
        <w:rPr>
          <w:b/>
          <w:sz w:val="24"/>
        </w:rPr>
        <w:t>Appendix B: Table</w:t>
      </w:r>
      <w:r>
        <w:rPr>
          <w:b/>
          <w:spacing w:val="-1"/>
          <w:sz w:val="24"/>
        </w:rPr>
        <w:t xml:space="preserve"> </w:t>
      </w:r>
      <w:r>
        <w:rPr>
          <w:b/>
          <w:sz w:val="24"/>
        </w:rPr>
        <w:t>B.2.</w:t>
      </w:r>
    </w:p>
    <w:p w:rsidR="00C94252" w:rsidRDefault="00C94252">
      <w:pPr>
        <w:pStyle w:val="Brdtekst"/>
        <w:rPr>
          <w:b/>
          <w:sz w:val="26"/>
        </w:rPr>
      </w:pPr>
    </w:p>
    <w:p w:rsidR="00C94252" w:rsidRDefault="00C94252">
      <w:pPr>
        <w:pStyle w:val="Brdtekst"/>
        <w:spacing w:before="9"/>
        <w:rPr>
          <w:b/>
          <w:sz w:val="25"/>
        </w:rPr>
      </w:pPr>
    </w:p>
    <w:p w:rsidR="00C94252" w:rsidRDefault="00A33443">
      <w:pPr>
        <w:pStyle w:val="Listeavsnitt"/>
        <w:numPr>
          <w:ilvl w:val="3"/>
          <w:numId w:val="3"/>
        </w:numPr>
        <w:tabs>
          <w:tab w:val="left" w:pos="838"/>
        </w:tabs>
        <w:rPr>
          <w:i/>
          <w:sz w:val="24"/>
        </w:rPr>
      </w:pPr>
      <w:r>
        <w:rPr>
          <w:i/>
          <w:sz w:val="24"/>
        </w:rPr>
        <w:t>Communication</w:t>
      </w:r>
      <w:r>
        <w:rPr>
          <w:i/>
          <w:spacing w:val="-1"/>
          <w:sz w:val="24"/>
        </w:rPr>
        <w:t xml:space="preserve"> </w:t>
      </w:r>
      <w:r>
        <w:rPr>
          <w:i/>
          <w:sz w:val="24"/>
        </w:rPr>
        <w:t>quality</w:t>
      </w:r>
    </w:p>
    <w:p w:rsidR="00C94252" w:rsidRDefault="00A33443">
      <w:pPr>
        <w:pStyle w:val="Brdtekst"/>
        <w:spacing w:before="120"/>
        <w:ind w:left="116" w:right="112"/>
        <w:jc w:val="both"/>
      </w:pPr>
      <w:r>
        <w:t xml:space="preserve">Respondents were asked to assess the </w:t>
      </w:r>
      <w:r>
        <w:rPr>
          <w:i/>
        </w:rPr>
        <w:t xml:space="preserve">quality of communication </w:t>
      </w:r>
      <w:r>
        <w:t xml:space="preserve">at the strategic planning level (Q8). We found significant differences (p=0.003) between the </w:t>
      </w:r>
      <w:r>
        <w:rPr>
          <w:i/>
        </w:rPr>
        <w:t xml:space="preserve">large regions </w:t>
      </w:r>
      <w:r>
        <w:t xml:space="preserve">concerning how the </w:t>
      </w:r>
      <w:r>
        <w:rPr>
          <w:i/>
        </w:rPr>
        <w:t xml:space="preserve">quality of communication content </w:t>
      </w:r>
      <w:r>
        <w:t>was evaluated. Respondents from the Western European region tended to perceive communication quality considerably higher (mean=3.32) than in the Northern (mean=2.21) (post-hoc p=0.06), CEE (mean=2.03) (post-hoc p=0.002), an</w:t>
      </w:r>
      <w:r>
        <w:t>d South European region (mean=2.00) (post-hoc p=0.038).</w:t>
      </w:r>
    </w:p>
    <w:p w:rsidR="00C94252" w:rsidRDefault="00A33443">
      <w:pPr>
        <w:pStyle w:val="Brdtekst"/>
        <w:spacing w:before="161"/>
        <w:ind w:left="116" w:right="110"/>
        <w:jc w:val="both"/>
      </w:pPr>
      <w:r>
        <w:t xml:space="preserve">Among the </w:t>
      </w:r>
      <w:r>
        <w:rPr>
          <w:i/>
        </w:rPr>
        <w:t>sub-regions</w:t>
      </w:r>
      <w:r>
        <w:t xml:space="preserve">, less significant differences existed regarding the </w:t>
      </w:r>
      <w:r>
        <w:rPr>
          <w:i/>
        </w:rPr>
        <w:t xml:space="preserve">content quality of communication </w:t>
      </w:r>
      <w:r>
        <w:t xml:space="preserve">(p=0.028) and </w:t>
      </w:r>
      <w:r>
        <w:rPr>
          <w:i/>
        </w:rPr>
        <w:t xml:space="preserve">final decision-making </w:t>
      </w:r>
      <w:r>
        <w:t xml:space="preserve">(p=0.073). </w:t>
      </w:r>
      <w:r>
        <w:rPr>
          <w:i/>
        </w:rPr>
        <w:t xml:space="preserve">Content quality </w:t>
      </w:r>
      <w:r>
        <w:t>was assessed more positively i</w:t>
      </w:r>
      <w:r>
        <w:t>n the Western European British (GB, IE) (mean=3.50) and Western</w:t>
      </w:r>
      <w:r>
        <w:rPr>
          <w:spacing w:val="-39"/>
        </w:rPr>
        <w:t xml:space="preserve"> </w:t>
      </w:r>
      <w:r>
        <w:t xml:space="preserve">European Germanic sub-regions (DE, AT, CH) (mean=3.20) than in the CEE-East-Central sub-region (CZ, SK, HU, RO) (mean=1.69). Regarding the communication quality on </w:t>
      </w:r>
      <w:r>
        <w:rPr>
          <w:i/>
        </w:rPr>
        <w:t>final decision- making</w:t>
      </w:r>
      <w:r>
        <w:t xml:space="preserve">, the </w:t>
      </w:r>
      <w:r>
        <w:t>Western European British sub-region (UK, IE) (mean=3.50) performed substantially better than the CEE-East-Central sub-region (CZ, SK, HU, RO)</w:t>
      </w:r>
      <w:r>
        <w:rPr>
          <w:spacing w:val="43"/>
        </w:rPr>
        <w:t xml:space="preserve"> </w:t>
      </w:r>
      <w:r>
        <w:t>(mean=1.77).</w:t>
      </w:r>
    </w:p>
    <w:p w:rsidR="00C94252" w:rsidRDefault="00C94252">
      <w:pPr>
        <w:pStyle w:val="Brdtekst"/>
        <w:spacing w:before="4"/>
        <w:rPr>
          <w:sz w:val="21"/>
        </w:rPr>
      </w:pPr>
    </w:p>
    <w:p w:rsidR="00C94252" w:rsidRDefault="00A33443">
      <w:pPr>
        <w:pStyle w:val="Overskrift2"/>
        <w:numPr>
          <w:ilvl w:val="2"/>
          <w:numId w:val="3"/>
        </w:numPr>
        <w:tabs>
          <w:tab w:val="left" w:pos="837"/>
        </w:tabs>
      </w:pPr>
      <w:r>
        <w:t>Local planning</w:t>
      </w:r>
    </w:p>
    <w:p w:rsidR="00C94252" w:rsidRDefault="00A33443">
      <w:pPr>
        <w:spacing w:before="116"/>
        <w:ind w:left="116" w:right="111"/>
        <w:jc w:val="both"/>
        <w:rPr>
          <w:sz w:val="24"/>
        </w:rPr>
      </w:pPr>
      <w:r>
        <w:rPr>
          <w:sz w:val="24"/>
        </w:rPr>
        <w:t xml:space="preserve">At the local planning level, the </w:t>
      </w:r>
      <w:r>
        <w:rPr>
          <w:i/>
          <w:sz w:val="24"/>
        </w:rPr>
        <w:t xml:space="preserve">timing of communication </w:t>
      </w:r>
      <w:r>
        <w:rPr>
          <w:sz w:val="24"/>
        </w:rPr>
        <w:t xml:space="preserve">and </w:t>
      </w:r>
      <w:r>
        <w:rPr>
          <w:i/>
          <w:sz w:val="24"/>
        </w:rPr>
        <w:t xml:space="preserve">influence of actors </w:t>
      </w:r>
      <w:r>
        <w:rPr>
          <w:sz w:val="24"/>
        </w:rPr>
        <w:t>turn</w:t>
      </w:r>
      <w:r>
        <w:rPr>
          <w:sz w:val="24"/>
        </w:rPr>
        <w:t>ed out to be significantly different among the regions.</w:t>
      </w:r>
    </w:p>
    <w:p w:rsidR="00C94252" w:rsidRDefault="00C94252">
      <w:pPr>
        <w:jc w:val="both"/>
        <w:rPr>
          <w:sz w:val="24"/>
        </w:rPr>
        <w:sectPr w:rsidR="00C94252">
          <w:pgSz w:w="11900" w:h="16850"/>
          <w:pgMar w:top="1520" w:right="1300" w:bottom="940" w:left="1300" w:header="0" w:footer="751" w:gutter="0"/>
          <w:cols w:space="708"/>
        </w:sectPr>
      </w:pPr>
    </w:p>
    <w:p w:rsidR="00C94252" w:rsidRDefault="00A33443">
      <w:pPr>
        <w:pStyle w:val="Listeavsnitt"/>
        <w:numPr>
          <w:ilvl w:val="3"/>
          <w:numId w:val="3"/>
        </w:numPr>
        <w:tabs>
          <w:tab w:val="left" w:pos="838"/>
        </w:tabs>
        <w:spacing w:before="69"/>
        <w:rPr>
          <w:i/>
          <w:sz w:val="24"/>
        </w:rPr>
      </w:pPr>
      <w:r>
        <w:rPr>
          <w:i/>
          <w:sz w:val="24"/>
        </w:rPr>
        <w:t>Timing of</w:t>
      </w:r>
      <w:r>
        <w:rPr>
          <w:i/>
          <w:spacing w:val="-1"/>
          <w:sz w:val="24"/>
        </w:rPr>
        <w:t xml:space="preserve"> </w:t>
      </w:r>
      <w:r>
        <w:rPr>
          <w:i/>
          <w:sz w:val="24"/>
        </w:rPr>
        <w:t>communication</w:t>
      </w:r>
    </w:p>
    <w:p w:rsidR="00C94252" w:rsidRDefault="00A33443">
      <w:pPr>
        <w:pStyle w:val="Brdtekst"/>
        <w:spacing w:before="121"/>
        <w:ind w:left="116" w:right="111"/>
        <w:jc w:val="both"/>
      </w:pPr>
      <w:r>
        <w:t>We were interested in whether the respondents from different European regions perceived the timing of communication differently (Q20). We found a certain vari</w:t>
      </w:r>
      <w:r>
        <w:t xml:space="preserve">ation across </w:t>
      </w:r>
      <w:r>
        <w:rPr>
          <w:i/>
        </w:rPr>
        <w:t xml:space="preserve">large regions </w:t>
      </w:r>
      <w:r>
        <w:t>(p=0.052), which foremost concerned the Northern European and CEE regions (post-hoc p=0.034):</w:t>
      </w:r>
      <w:r>
        <w:rPr>
          <w:spacing w:val="-8"/>
        </w:rPr>
        <w:t xml:space="preserve"> </w:t>
      </w:r>
      <w:r>
        <w:t>earlier</w:t>
      </w:r>
      <w:r>
        <w:rPr>
          <w:spacing w:val="-7"/>
        </w:rPr>
        <w:t xml:space="preserve"> </w:t>
      </w:r>
      <w:r>
        <w:t>communication</w:t>
      </w:r>
      <w:r>
        <w:rPr>
          <w:spacing w:val="-6"/>
        </w:rPr>
        <w:t xml:space="preserve"> </w:t>
      </w:r>
      <w:r>
        <w:t>(e.g.,</w:t>
      </w:r>
      <w:r>
        <w:rPr>
          <w:spacing w:val="-6"/>
        </w:rPr>
        <w:t xml:space="preserve"> </w:t>
      </w:r>
      <w:r>
        <w:t>already</w:t>
      </w:r>
      <w:r>
        <w:rPr>
          <w:spacing w:val="-13"/>
        </w:rPr>
        <w:t xml:space="preserve"> </w:t>
      </w:r>
      <w:r>
        <w:t>before</w:t>
      </w:r>
      <w:r>
        <w:rPr>
          <w:spacing w:val="-8"/>
        </w:rPr>
        <w:t xml:space="preserve"> </w:t>
      </w:r>
      <w:r>
        <w:t>the</w:t>
      </w:r>
      <w:r>
        <w:rPr>
          <w:spacing w:val="-9"/>
        </w:rPr>
        <w:t xml:space="preserve"> </w:t>
      </w:r>
      <w:r>
        <w:t>planning</w:t>
      </w:r>
      <w:r>
        <w:rPr>
          <w:spacing w:val="-7"/>
        </w:rPr>
        <w:t xml:space="preserve"> </w:t>
      </w:r>
      <w:r>
        <w:t>process)</w:t>
      </w:r>
      <w:r>
        <w:rPr>
          <w:spacing w:val="-6"/>
        </w:rPr>
        <w:t xml:space="preserve"> </w:t>
      </w:r>
      <w:r>
        <w:t>is</w:t>
      </w:r>
      <w:r>
        <w:rPr>
          <w:spacing w:val="-8"/>
        </w:rPr>
        <w:t xml:space="preserve"> </w:t>
      </w:r>
      <w:r>
        <w:t>more</w:t>
      </w:r>
      <w:r>
        <w:rPr>
          <w:spacing w:val="-8"/>
        </w:rPr>
        <w:t xml:space="preserve"> </w:t>
      </w:r>
      <w:r>
        <w:t>frequent</w:t>
      </w:r>
      <w:r>
        <w:rPr>
          <w:spacing w:val="-8"/>
        </w:rPr>
        <w:t xml:space="preserve"> </w:t>
      </w:r>
      <w:r>
        <w:t>in Northern Europe (sum mean=7.15) than in the three</w:t>
      </w:r>
      <w:r>
        <w:t xml:space="preserve"> other regions, e.g., the CEE region (mean=4.32). No significant differences regarding this variable were found among the sub- regions, which certainly can be due to the small sample</w:t>
      </w:r>
      <w:r>
        <w:rPr>
          <w:spacing w:val="-7"/>
        </w:rPr>
        <w:t xml:space="preserve"> </w:t>
      </w:r>
      <w:r>
        <w:t>sizes.</w:t>
      </w:r>
    </w:p>
    <w:p w:rsidR="00C94252" w:rsidRDefault="00A33443">
      <w:pPr>
        <w:pStyle w:val="Listeavsnitt"/>
        <w:numPr>
          <w:ilvl w:val="3"/>
          <w:numId w:val="3"/>
        </w:numPr>
        <w:tabs>
          <w:tab w:val="left" w:pos="838"/>
        </w:tabs>
        <w:spacing w:before="161"/>
        <w:rPr>
          <w:i/>
          <w:sz w:val="24"/>
        </w:rPr>
      </w:pPr>
      <w:r>
        <w:rPr>
          <w:i/>
          <w:sz w:val="24"/>
        </w:rPr>
        <w:t>Influence on decision-making by potentially relevant actor</w:t>
      </w:r>
      <w:r>
        <w:rPr>
          <w:i/>
          <w:spacing w:val="-2"/>
          <w:sz w:val="24"/>
        </w:rPr>
        <w:t xml:space="preserve"> </w:t>
      </w:r>
      <w:r>
        <w:rPr>
          <w:i/>
          <w:sz w:val="24"/>
        </w:rPr>
        <w:t>groups</w:t>
      </w:r>
    </w:p>
    <w:p w:rsidR="00C94252" w:rsidRDefault="00A33443">
      <w:pPr>
        <w:spacing w:before="120"/>
        <w:ind w:left="116" w:right="110"/>
        <w:jc w:val="both"/>
        <w:rPr>
          <w:sz w:val="24"/>
        </w:rPr>
      </w:pPr>
      <w:r>
        <w:rPr>
          <w:sz w:val="24"/>
        </w:rPr>
        <w:t xml:space="preserve">Across the full sample, </w:t>
      </w:r>
      <w:r>
        <w:rPr>
          <w:i/>
          <w:sz w:val="24"/>
        </w:rPr>
        <w:t xml:space="preserve">local councils </w:t>
      </w:r>
      <w:r>
        <w:rPr>
          <w:sz w:val="24"/>
        </w:rPr>
        <w:t xml:space="preserve">and </w:t>
      </w:r>
      <w:r>
        <w:rPr>
          <w:i/>
          <w:sz w:val="24"/>
        </w:rPr>
        <w:t xml:space="preserve">local authorities </w:t>
      </w:r>
      <w:r>
        <w:rPr>
          <w:sz w:val="24"/>
        </w:rPr>
        <w:t xml:space="preserve">were assessed to be the most influential actor groups. However, we found significant differences in how the respondents from different </w:t>
      </w:r>
      <w:r>
        <w:rPr>
          <w:i/>
          <w:sz w:val="24"/>
        </w:rPr>
        <w:t xml:space="preserve">large regions </w:t>
      </w:r>
      <w:r>
        <w:rPr>
          <w:sz w:val="24"/>
        </w:rPr>
        <w:t xml:space="preserve">perceived the </w:t>
      </w:r>
      <w:r>
        <w:rPr>
          <w:i/>
          <w:sz w:val="24"/>
        </w:rPr>
        <w:t xml:space="preserve">influence </w:t>
      </w:r>
      <w:r>
        <w:rPr>
          <w:sz w:val="24"/>
        </w:rPr>
        <w:t xml:space="preserve">of certain stakeholder groups, especially </w:t>
      </w:r>
      <w:r>
        <w:rPr>
          <w:i/>
          <w:sz w:val="24"/>
        </w:rPr>
        <w:t>local councils</w:t>
      </w:r>
      <w:r>
        <w:rPr>
          <w:sz w:val="24"/>
        </w:rPr>
        <w:t xml:space="preserve">, </w:t>
      </w:r>
      <w:r>
        <w:rPr>
          <w:i/>
          <w:sz w:val="24"/>
        </w:rPr>
        <w:t xml:space="preserve">interest groups </w:t>
      </w:r>
      <w:r>
        <w:rPr>
          <w:sz w:val="24"/>
        </w:rPr>
        <w:t xml:space="preserve">and the </w:t>
      </w:r>
      <w:r>
        <w:rPr>
          <w:i/>
          <w:sz w:val="24"/>
        </w:rPr>
        <w:t xml:space="preserve">wider public </w:t>
      </w:r>
      <w:r>
        <w:rPr>
          <w:sz w:val="24"/>
        </w:rPr>
        <w:t>(</w:t>
      </w:r>
      <w:r>
        <w:rPr>
          <w:b/>
          <w:sz w:val="24"/>
        </w:rPr>
        <w:t>Appendix B: Table B.3</w:t>
      </w:r>
      <w:r>
        <w:rPr>
          <w:sz w:val="24"/>
        </w:rPr>
        <w:t xml:space="preserve">). </w:t>
      </w:r>
      <w:r>
        <w:rPr>
          <w:i/>
          <w:sz w:val="24"/>
        </w:rPr>
        <w:t xml:space="preserve">Local councils </w:t>
      </w:r>
      <w:r>
        <w:rPr>
          <w:sz w:val="24"/>
        </w:rPr>
        <w:t>were perceived to have a considerably higher influence in Western Europe than in the CEE region (post-hoc p=0.018) and in</w:t>
      </w:r>
      <w:r>
        <w:rPr>
          <w:sz w:val="24"/>
        </w:rPr>
        <w:t xml:space="preserve"> Southern Europe (post-hoc p=0.054). </w:t>
      </w:r>
      <w:r>
        <w:rPr>
          <w:i/>
          <w:sz w:val="24"/>
        </w:rPr>
        <w:t xml:space="preserve">Interest groups </w:t>
      </w:r>
      <w:r>
        <w:rPr>
          <w:sz w:val="24"/>
        </w:rPr>
        <w:t>were seen</w:t>
      </w:r>
      <w:r>
        <w:rPr>
          <w:spacing w:val="-9"/>
          <w:sz w:val="24"/>
        </w:rPr>
        <w:t xml:space="preserve"> </w:t>
      </w:r>
      <w:r>
        <w:rPr>
          <w:sz w:val="24"/>
        </w:rPr>
        <w:t>as</w:t>
      </w:r>
      <w:r>
        <w:rPr>
          <w:spacing w:val="-11"/>
          <w:sz w:val="24"/>
        </w:rPr>
        <w:t xml:space="preserve"> </w:t>
      </w:r>
      <w:r>
        <w:rPr>
          <w:sz w:val="24"/>
        </w:rPr>
        <w:t>having</w:t>
      </w:r>
      <w:r>
        <w:rPr>
          <w:spacing w:val="-10"/>
          <w:sz w:val="24"/>
        </w:rPr>
        <w:t xml:space="preserve"> </w:t>
      </w:r>
      <w:r>
        <w:rPr>
          <w:sz w:val="24"/>
        </w:rPr>
        <w:t>higher</w:t>
      </w:r>
      <w:r>
        <w:rPr>
          <w:spacing w:val="-9"/>
          <w:sz w:val="24"/>
        </w:rPr>
        <w:t xml:space="preserve"> </w:t>
      </w:r>
      <w:r>
        <w:rPr>
          <w:sz w:val="24"/>
        </w:rPr>
        <w:t>influence</w:t>
      </w:r>
      <w:r>
        <w:rPr>
          <w:spacing w:val="-9"/>
          <w:sz w:val="24"/>
        </w:rPr>
        <w:t xml:space="preserve"> </w:t>
      </w:r>
      <w:r>
        <w:rPr>
          <w:sz w:val="24"/>
        </w:rPr>
        <w:t>in</w:t>
      </w:r>
      <w:r>
        <w:rPr>
          <w:spacing w:val="-10"/>
          <w:sz w:val="24"/>
        </w:rPr>
        <w:t xml:space="preserve"> </w:t>
      </w:r>
      <w:r>
        <w:rPr>
          <w:sz w:val="24"/>
        </w:rPr>
        <w:t>Western</w:t>
      </w:r>
      <w:r>
        <w:rPr>
          <w:spacing w:val="-8"/>
          <w:sz w:val="24"/>
        </w:rPr>
        <w:t xml:space="preserve"> </w:t>
      </w:r>
      <w:r>
        <w:rPr>
          <w:sz w:val="24"/>
        </w:rPr>
        <w:t>Europe,</w:t>
      </w:r>
      <w:r>
        <w:rPr>
          <w:spacing w:val="-9"/>
          <w:sz w:val="24"/>
        </w:rPr>
        <w:t xml:space="preserve"> </w:t>
      </w:r>
      <w:r>
        <w:rPr>
          <w:sz w:val="24"/>
        </w:rPr>
        <w:t>too,</w:t>
      </w:r>
      <w:r>
        <w:rPr>
          <w:spacing w:val="-9"/>
          <w:sz w:val="24"/>
        </w:rPr>
        <w:t xml:space="preserve"> </w:t>
      </w:r>
      <w:r>
        <w:rPr>
          <w:sz w:val="24"/>
        </w:rPr>
        <w:t>as</w:t>
      </w:r>
      <w:r>
        <w:rPr>
          <w:spacing w:val="-8"/>
          <w:sz w:val="24"/>
        </w:rPr>
        <w:t xml:space="preserve"> </w:t>
      </w:r>
      <w:r>
        <w:rPr>
          <w:sz w:val="24"/>
        </w:rPr>
        <w:t>compared</w:t>
      </w:r>
      <w:r>
        <w:rPr>
          <w:spacing w:val="-11"/>
          <w:sz w:val="24"/>
        </w:rPr>
        <w:t xml:space="preserve"> </w:t>
      </w:r>
      <w:r>
        <w:rPr>
          <w:sz w:val="24"/>
        </w:rPr>
        <w:t>to</w:t>
      </w:r>
      <w:r>
        <w:rPr>
          <w:spacing w:val="-8"/>
          <w:sz w:val="24"/>
        </w:rPr>
        <w:t xml:space="preserve"> </w:t>
      </w:r>
      <w:r>
        <w:rPr>
          <w:sz w:val="24"/>
        </w:rPr>
        <w:t>Northern</w:t>
      </w:r>
      <w:r>
        <w:rPr>
          <w:spacing w:val="-11"/>
          <w:sz w:val="24"/>
        </w:rPr>
        <w:t xml:space="preserve"> </w:t>
      </w:r>
      <w:r>
        <w:rPr>
          <w:sz w:val="24"/>
        </w:rPr>
        <w:t>Europe</w:t>
      </w:r>
      <w:r>
        <w:rPr>
          <w:spacing w:val="-9"/>
          <w:sz w:val="24"/>
        </w:rPr>
        <w:t xml:space="preserve"> </w:t>
      </w:r>
      <w:r>
        <w:rPr>
          <w:sz w:val="24"/>
        </w:rPr>
        <w:t>(post- hoc</w:t>
      </w:r>
      <w:r>
        <w:rPr>
          <w:spacing w:val="-12"/>
          <w:sz w:val="24"/>
        </w:rPr>
        <w:t xml:space="preserve"> </w:t>
      </w:r>
      <w:r>
        <w:rPr>
          <w:sz w:val="24"/>
        </w:rPr>
        <w:t>p=0.044)</w:t>
      </w:r>
      <w:r>
        <w:rPr>
          <w:spacing w:val="-11"/>
          <w:sz w:val="24"/>
        </w:rPr>
        <w:t xml:space="preserve"> </w:t>
      </w:r>
      <w:r>
        <w:rPr>
          <w:sz w:val="24"/>
        </w:rPr>
        <w:t>or</w:t>
      </w:r>
      <w:r>
        <w:rPr>
          <w:spacing w:val="-9"/>
          <w:sz w:val="24"/>
        </w:rPr>
        <w:t xml:space="preserve"> </w:t>
      </w:r>
      <w:r>
        <w:rPr>
          <w:sz w:val="24"/>
        </w:rPr>
        <w:t>Southern</w:t>
      </w:r>
      <w:r>
        <w:rPr>
          <w:spacing w:val="-7"/>
          <w:sz w:val="24"/>
        </w:rPr>
        <w:t xml:space="preserve"> </w:t>
      </w:r>
      <w:r>
        <w:rPr>
          <w:sz w:val="24"/>
        </w:rPr>
        <w:t>Europe</w:t>
      </w:r>
      <w:r>
        <w:rPr>
          <w:spacing w:val="-9"/>
          <w:sz w:val="24"/>
        </w:rPr>
        <w:t xml:space="preserve"> </w:t>
      </w:r>
      <w:r>
        <w:rPr>
          <w:sz w:val="24"/>
        </w:rPr>
        <w:t>(post-hoc</w:t>
      </w:r>
      <w:r>
        <w:rPr>
          <w:spacing w:val="-12"/>
          <w:sz w:val="24"/>
        </w:rPr>
        <w:t xml:space="preserve"> </w:t>
      </w:r>
      <w:r>
        <w:rPr>
          <w:sz w:val="24"/>
        </w:rPr>
        <w:t>p=0.097).</w:t>
      </w:r>
      <w:r>
        <w:rPr>
          <w:spacing w:val="-10"/>
          <w:sz w:val="24"/>
        </w:rPr>
        <w:t xml:space="preserve"> </w:t>
      </w:r>
      <w:r>
        <w:rPr>
          <w:sz w:val="24"/>
        </w:rPr>
        <w:t>The</w:t>
      </w:r>
      <w:r>
        <w:rPr>
          <w:spacing w:val="-10"/>
          <w:sz w:val="24"/>
        </w:rPr>
        <w:t xml:space="preserve"> </w:t>
      </w:r>
      <w:r>
        <w:rPr>
          <w:i/>
          <w:sz w:val="24"/>
        </w:rPr>
        <w:t>wider</w:t>
      </w:r>
      <w:r>
        <w:rPr>
          <w:i/>
          <w:spacing w:val="-10"/>
          <w:sz w:val="24"/>
        </w:rPr>
        <w:t xml:space="preserve"> </w:t>
      </w:r>
      <w:r>
        <w:rPr>
          <w:i/>
          <w:sz w:val="24"/>
        </w:rPr>
        <w:t>public</w:t>
      </w:r>
      <w:r>
        <w:rPr>
          <w:i/>
          <w:spacing w:val="-8"/>
          <w:sz w:val="24"/>
        </w:rPr>
        <w:t xml:space="preserve"> </w:t>
      </w:r>
      <w:r>
        <w:rPr>
          <w:sz w:val="24"/>
        </w:rPr>
        <w:t>was</w:t>
      </w:r>
      <w:r>
        <w:rPr>
          <w:spacing w:val="-6"/>
          <w:sz w:val="24"/>
        </w:rPr>
        <w:t xml:space="preserve"> </w:t>
      </w:r>
      <w:r>
        <w:rPr>
          <w:sz w:val="24"/>
        </w:rPr>
        <w:t>considered</w:t>
      </w:r>
      <w:r>
        <w:rPr>
          <w:spacing w:val="-7"/>
          <w:sz w:val="24"/>
        </w:rPr>
        <w:t xml:space="preserve"> </w:t>
      </w:r>
      <w:r>
        <w:rPr>
          <w:sz w:val="24"/>
        </w:rPr>
        <w:t>to</w:t>
      </w:r>
      <w:r>
        <w:rPr>
          <w:spacing w:val="-10"/>
          <w:sz w:val="24"/>
        </w:rPr>
        <w:t xml:space="preserve"> </w:t>
      </w:r>
      <w:r>
        <w:rPr>
          <w:sz w:val="24"/>
        </w:rPr>
        <w:t>have a higher inf</w:t>
      </w:r>
      <w:r>
        <w:rPr>
          <w:sz w:val="24"/>
        </w:rPr>
        <w:t>luence in Western Europe than in the CEE region (post-hoc</w:t>
      </w:r>
      <w:r>
        <w:rPr>
          <w:spacing w:val="-6"/>
          <w:sz w:val="24"/>
        </w:rPr>
        <w:t xml:space="preserve"> </w:t>
      </w:r>
      <w:r>
        <w:rPr>
          <w:sz w:val="24"/>
        </w:rPr>
        <w:t>p=0.039).</w:t>
      </w:r>
    </w:p>
    <w:p w:rsidR="00C94252" w:rsidRDefault="00A33443">
      <w:pPr>
        <w:pStyle w:val="Brdtekst"/>
        <w:spacing w:before="161"/>
        <w:ind w:left="116" w:right="111"/>
        <w:jc w:val="both"/>
      </w:pPr>
      <w:r>
        <w:t xml:space="preserve">Among the </w:t>
      </w:r>
      <w:r>
        <w:rPr>
          <w:i/>
        </w:rPr>
        <w:t>sub-regions</w:t>
      </w:r>
      <w:r>
        <w:t xml:space="preserve">, the impact of </w:t>
      </w:r>
      <w:r>
        <w:rPr>
          <w:i/>
        </w:rPr>
        <w:t xml:space="preserve">local councils </w:t>
      </w:r>
      <w:r>
        <w:t>(p=0.000) and local authorities</w:t>
      </w:r>
      <w:r>
        <w:rPr>
          <w:spacing w:val="-35"/>
        </w:rPr>
        <w:t xml:space="preserve"> </w:t>
      </w:r>
      <w:r>
        <w:t>(p=0.000) was perceived differently with high significance. There were also certain differences in how the</w:t>
      </w:r>
      <w:r>
        <w:rPr>
          <w:spacing w:val="-7"/>
        </w:rPr>
        <w:t xml:space="preserve"> </w:t>
      </w:r>
      <w:r>
        <w:t>influence</w:t>
      </w:r>
      <w:r>
        <w:rPr>
          <w:spacing w:val="-7"/>
        </w:rPr>
        <w:t xml:space="preserve"> </w:t>
      </w:r>
      <w:r>
        <w:t>of</w:t>
      </w:r>
      <w:r>
        <w:rPr>
          <w:spacing w:val="-7"/>
        </w:rPr>
        <w:t xml:space="preserve"> </w:t>
      </w:r>
      <w:r>
        <w:t>interest</w:t>
      </w:r>
      <w:r>
        <w:rPr>
          <w:spacing w:val="-3"/>
        </w:rPr>
        <w:t xml:space="preserve"> </w:t>
      </w:r>
      <w:r>
        <w:t>groups</w:t>
      </w:r>
      <w:r>
        <w:rPr>
          <w:spacing w:val="-5"/>
        </w:rPr>
        <w:t xml:space="preserve"> </w:t>
      </w:r>
      <w:r>
        <w:t>was</w:t>
      </w:r>
      <w:r>
        <w:rPr>
          <w:spacing w:val="-6"/>
        </w:rPr>
        <w:t xml:space="preserve"> </w:t>
      </w:r>
      <w:r>
        <w:t>assessed</w:t>
      </w:r>
      <w:r>
        <w:rPr>
          <w:spacing w:val="-6"/>
        </w:rPr>
        <w:t xml:space="preserve"> </w:t>
      </w:r>
      <w:r>
        <w:t>(p=0.079)</w:t>
      </w:r>
      <w:r>
        <w:rPr>
          <w:spacing w:val="-6"/>
        </w:rPr>
        <w:t xml:space="preserve"> </w:t>
      </w:r>
      <w:r>
        <w:t>(</w:t>
      </w:r>
      <w:r>
        <w:rPr>
          <w:b/>
        </w:rPr>
        <w:t>Table</w:t>
      </w:r>
      <w:r>
        <w:rPr>
          <w:b/>
          <w:spacing w:val="-6"/>
        </w:rPr>
        <w:t xml:space="preserve"> </w:t>
      </w:r>
      <w:r>
        <w:rPr>
          <w:b/>
        </w:rPr>
        <w:t>2</w:t>
      </w:r>
      <w:r>
        <w:t>).</w:t>
      </w:r>
      <w:r>
        <w:rPr>
          <w:spacing w:val="-6"/>
        </w:rPr>
        <w:t xml:space="preserve"> </w:t>
      </w:r>
      <w:r>
        <w:rPr>
          <w:i/>
        </w:rPr>
        <w:t>Local</w:t>
      </w:r>
      <w:r>
        <w:rPr>
          <w:i/>
          <w:spacing w:val="-5"/>
        </w:rPr>
        <w:t xml:space="preserve"> </w:t>
      </w:r>
      <w:r>
        <w:rPr>
          <w:i/>
        </w:rPr>
        <w:t>councils</w:t>
      </w:r>
      <w:r>
        <w:rPr>
          <w:i/>
          <w:spacing w:val="-5"/>
        </w:rPr>
        <w:t xml:space="preserve"> </w:t>
      </w:r>
      <w:r>
        <w:t>were</w:t>
      </w:r>
      <w:r>
        <w:rPr>
          <w:spacing w:val="-5"/>
        </w:rPr>
        <w:t xml:space="preserve"> </w:t>
      </w:r>
      <w:r>
        <w:t>rated</w:t>
      </w:r>
      <w:r>
        <w:rPr>
          <w:spacing w:val="-7"/>
        </w:rPr>
        <w:t xml:space="preserve"> </w:t>
      </w:r>
      <w:r>
        <w:t>to have considerably higher influence in the Western Europea</w:t>
      </w:r>
      <w:r>
        <w:t xml:space="preserve">n British (GB, IE) and Western European Germanic sub-regions (DE, AT, CH) but also in Northern Europe, than for instance, in the CEE-South-Eastern sub-region (BG, SI, RS, HR, BA) (post-hoc p=0.000). </w:t>
      </w:r>
      <w:r>
        <w:rPr>
          <w:i/>
        </w:rPr>
        <w:t xml:space="preserve">Local authorities </w:t>
      </w:r>
      <w:r>
        <w:t>seem to be more important in Northern E</w:t>
      </w:r>
      <w:r>
        <w:t>urope (DK, NO, SE, FI, IS) and the Western</w:t>
      </w:r>
      <w:r>
        <w:rPr>
          <w:spacing w:val="-8"/>
        </w:rPr>
        <w:t xml:space="preserve"> </w:t>
      </w:r>
      <w:r>
        <w:t>European</w:t>
      </w:r>
      <w:r>
        <w:rPr>
          <w:spacing w:val="-5"/>
        </w:rPr>
        <w:t xml:space="preserve"> </w:t>
      </w:r>
      <w:r>
        <w:t>British</w:t>
      </w:r>
      <w:r>
        <w:rPr>
          <w:spacing w:val="-7"/>
        </w:rPr>
        <w:t xml:space="preserve"> </w:t>
      </w:r>
      <w:r>
        <w:t>sub-region</w:t>
      </w:r>
      <w:r>
        <w:rPr>
          <w:spacing w:val="-7"/>
        </w:rPr>
        <w:t xml:space="preserve"> </w:t>
      </w:r>
      <w:r>
        <w:t>(GB,</w:t>
      </w:r>
      <w:r>
        <w:rPr>
          <w:spacing w:val="-6"/>
        </w:rPr>
        <w:t xml:space="preserve"> </w:t>
      </w:r>
      <w:r>
        <w:t>IE)</w:t>
      </w:r>
      <w:r>
        <w:rPr>
          <w:spacing w:val="-8"/>
        </w:rPr>
        <w:t xml:space="preserve"> </w:t>
      </w:r>
      <w:r>
        <w:t>than</w:t>
      </w:r>
      <w:r>
        <w:rPr>
          <w:spacing w:val="-7"/>
        </w:rPr>
        <w:t xml:space="preserve"> </w:t>
      </w:r>
      <w:r>
        <w:t>in</w:t>
      </w:r>
      <w:r>
        <w:rPr>
          <w:spacing w:val="-8"/>
        </w:rPr>
        <w:t xml:space="preserve"> </w:t>
      </w:r>
      <w:r>
        <w:t>the</w:t>
      </w:r>
      <w:r>
        <w:rPr>
          <w:spacing w:val="-8"/>
        </w:rPr>
        <w:t xml:space="preserve"> </w:t>
      </w:r>
      <w:r>
        <w:t>CEE-South-Eastern</w:t>
      </w:r>
      <w:r>
        <w:rPr>
          <w:spacing w:val="-8"/>
        </w:rPr>
        <w:t xml:space="preserve"> </w:t>
      </w:r>
      <w:r>
        <w:t>sub-region</w:t>
      </w:r>
      <w:r>
        <w:rPr>
          <w:spacing w:val="-8"/>
        </w:rPr>
        <w:t xml:space="preserve"> </w:t>
      </w:r>
      <w:r>
        <w:t>(BG, SI,</w:t>
      </w:r>
      <w:r>
        <w:rPr>
          <w:spacing w:val="-5"/>
        </w:rPr>
        <w:t xml:space="preserve"> </w:t>
      </w:r>
      <w:r>
        <w:t>RS,</w:t>
      </w:r>
      <w:r>
        <w:rPr>
          <w:spacing w:val="-4"/>
        </w:rPr>
        <w:t xml:space="preserve"> </w:t>
      </w:r>
      <w:r>
        <w:t>HR,</w:t>
      </w:r>
      <w:r>
        <w:rPr>
          <w:spacing w:val="-5"/>
        </w:rPr>
        <w:t xml:space="preserve"> </w:t>
      </w:r>
      <w:r>
        <w:t>BA)</w:t>
      </w:r>
      <w:r>
        <w:rPr>
          <w:spacing w:val="-6"/>
        </w:rPr>
        <w:t xml:space="preserve"> </w:t>
      </w:r>
      <w:r>
        <w:t>(post-hoc</w:t>
      </w:r>
      <w:r>
        <w:rPr>
          <w:spacing w:val="-6"/>
        </w:rPr>
        <w:t xml:space="preserve"> </w:t>
      </w:r>
      <w:r>
        <w:t>p=0.007</w:t>
      </w:r>
      <w:r>
        <w:rPr>
          <w:spacing w:val="-5"/>
        </w:rPr>
        <w:t xml:space="preserve"> </w:t>
      </w:r>
      <w:r>
        <w:t>and</w:t>
      </w:r>
      <w:r>
        <w:rPr>
          <w:spacing w:val="-4"/>
        </w:rPr>
        <w:t xml:space="preserve"> </w:t>
      </w:r>
      <w:r>
        <w:t>0.002,</w:t>
      </w:r>
      <w:r>
        <w:rPr>
          <w:spacing w:val="-5"/>
        </w:rPr>
        <w:t xml:space="preserve"> </w:t>
      </w:r>
      <w:r>
        <w:t>respectively).</w:t>
      </w:r>
      <w:r>
        <w:rPr>
          <w:spacing w:val="-3"/>
        </w:rPr>
        <w:t xml:space="preserve"> </w:t>
      </w:r>
      <w:r>
        <w:t>Authorities’</w:t>
      </w:r>
      <w:r>
        <w:rPr>
          <w:spacing w:val="-5"/>
        </w:rPr>
        <w:t xml:space="preserve"> </w:t>
      </w:r>
      <w:r>
        <w:t>importance</w:t>
      </w:r>
      <w:r>
        <w:rPr>
          <w:spacing w:val="-5"/>
        </w:rPr>
        <w:t xml:space="preserve"> </w:t>
      </w:r>
      <w:r>
        <w:t>was</w:t>
      </w:r>
      <w:r>
        <w:rPr>
          <w:spacing w:val="-2"/>
        </w:rPr>
        <w:t xml:space="preserve"> </w:t>
      </w:r>
      <w:r>
        <w:t>also rated differently within the CEE-regi</w:t>
      </w:r>
      <w:r>
        <w:t>on: e.g., they are more important in the</w:t>
      </w:r>
      <w:r>
        <w:rPr>
          <w:spacing w:val="-41"/>
        </w:rPr>
        <w:t xml:space="preserve"> </w:t>
      </w:r>
      <w:r>
        <w:t>CEE-East-Central sub-region (CZ, SK, HU, RO) as compared to the CEE-South-Eastern sub-region (BG, SI,</w:t>
      </w:r>
      <w:r>
        <w:rPr>
          <w:spacing w:val="-41"/>
        </w:rPr>
        <w:t xml:space="preserve"> </w:t>
      </w:r>
      <w:r>
        <w:t>RS, HR, BA) (post-hoc</w:t>
      </w:r>
      <w:r>
        <w:rPr>
          <w:spacing w:val="-3"/>
        </w:rPr>
        <w:t xml:space="preserve"> </w:t>
      </w:r>
      <w:r>
        <w:t>p=0.000).</w:t>
      </w:r>
    </w:p>
    <w:p w:rsidR="00C94252" w:rsidRDefault="00C94252">
      <w:pPr>
        <w:jc w:val="both"/>
        <w:sectPr w:rsidR="00C94252">
          <w:pgSz w:w="11900" w:h="16850"/>
          <w:pgMar w:top="1340" w:right="1300" w:bottom="940" w:left="1300" w:header="0" w:footer="751" w:gutter="0"/>
          <w:cols w:space="708"/>
        </w:sectPr>
      </w:pPr>
    </w:p>
    <w:p w:rsidR="00C94252" w:rsidRDefault="00C94252">
      <w:pPr>
        <w:pStyle w:val="Brdtekst"/>
        <w:spacing w:before="6"/>
        <w:rPr>
          <w:sz w:val="17"/>
        </w:rPr>
      </w:pPr>
    </w:p>
    <w:p w:rsidR="00C94252" w:rsidRDefault="00A33443">
      <w:pPr>
        <w:pStyle w:val="Brdtekst"/>
        <w:spacing w:before="90"/>
        <w:ind w:left="115"/>
      </w:pPr>
      <w:r>
        <w:rPr>
          <w:b/>
        </w:rPr>
        <w:t>Table 2</w:t>
      </w:r>
      <w:r>
        <w:t>. Perceived influence of different actor groups at the local planning level: differences across sub-regions. Significance levels: **p&lt;0.05;</w:t>
      </w:r>
    </w:p>
    <w:p w:rsidR="00C94252" w:rsidRDefault="00A33443">
      <w:pPr>
        <w:pStyle w:val="Brdtekst"/>
        <w:ind w:left="115"/>
      </w:pPr>
      <w:r>
        <w:t>***p&lt;0.005.</w:t>
      </w:r>
    </w:p>
    <w:p w:rsidR="00C94252" w:rsidRDefault="00C94252">
      <w:pPr>
        <w:pStyle w:val="Brdtekst"/>
        <w:spacing w:before="5"/>
        <w:rPr>
          <w:sz w:val="14"/>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98"/>
        <w:gridCol w:w="1258"/>
        <w:gridCol w:w="1149"/>
        <w:gridCol w:w="1207"/>
        <w:gridCol w:w="1419"/>
        <w:gridCol w:w="1205"/>
        <w:gridCol w:w="1147"/>
        <w:gridCol w:w="1190"/>
        <w:gridCol w:w="1419"/>
        <w:gridCol w:w="1121"/>
      </w:tblGrid>
      <w:tr w:rsidR="00C94252">
        <w:trPr>
          <w:trHeight w:val="698"/>
        </w:trPr>
        <w:tc>
          <w:tcPr>
            <w:tcW w:w="562" w:type="dxa"/>
            <w:vMerge w:val="restart"/>
            <w:tcBorders>
              <w:bottom w:val="single" w:sz="8" w:space="0" w:color="000000"/>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8"/>
              <w:rPr>
                <w:sz w:val="34"/>
              </w:rPr>
            </w:pPr>
          </w:p>
          <w:p w:rsidR="00C94252" w:rsidRDefault="00A33443">
            <w:pPr>
              <w:pStyle w:val="TableParagraph"/>
              <w:ind w:left="112"/>
              <w:rPr>
                <w:i/>
                <w:sz w:val="24"/>
              </w:rPr>
            </w:pPr>
            <w:r>
              <w:rPr>
                <w:i/>
                <w:sz w:val="24"/>
              </w:rPr>
              <w:t>No.</w:t>
            </w:r>
          </w:p>
        </w:tc>
        <w:tc>
          <w:tcPr>
            <w:tcW w:w="2198" w:type="dxa"/>
            <w:vMerge w:val="restart"/>
            <w:tcBorders>
              <w:bottom w:val="single" w:sz="8" w:space="0" w:color="000000"/>
            </w:tcBorders>
          </w:tcPr>
          <w:p w:rsidR="00C94252" w:rsidRDefault="00C94252">
            <w:pPr>
              <w:pStyle w:val="TableParagraph"/>
              <w:rPr>
                <w:sz w:val="26"/>
              </w:rPr>
            </w:pPr>
          </w:p>
          <w:p w:rsidR="00C94252" w:rsidRDefault="00C94252">
            <w:pPr>
              <w:pStyle w:val="TableParagraph"/>
              <w:rPr>
                <w:sz w:val="26"/>
              </w:rPr>
            </w:pPr>
          </w:p>
          <w:p w:rsidR="00C94252" w:rsidRDefault="00C94252">
            <w:pPr>
              <w:pStyle w:val="TableParagraph"/>
              <w:spacing w:before="8"/>
              <w:rPr>
                <w:sz w:val="34"/>
              </w:rPr>
            </w:pPr>
          </w:p>
          <w:p w:rsidR="00C94252" w:rsidRDefault="00A33443">
            <w:pPr>
              <w:pStyle w:val="TableParagraph"/>
              <w:ind w:left="470"/>
              <w:rPr>
                <w:i/>
                <w:sz w:val="24"/>
              </w:rPr>
            </w:pPr>
            <w:r>
              <w:rPr>
                <w:i/>
                <w:sz w:val="24"/>
              </w:rPr>
              <w:t>Actor groups</w:t>
            </w:r>
          </w:p>
        </w:tc>
        <w:tc>
          <w:tcPr>
            <w:tcW w:w="11115" w:type="dxa"/>
            <w:gridSpan w:val="9"/>
            <w:tcBorders>
              <w:bottom w:val="single" w:sz="6" w:space="0" w:color="000000"/>
            </w:tcBorders>
          </w:tcPr>
          <w:p w:rsidR="00C94252" w:rsidRDefault="00A33443">
            <w:pPr>
              <w:pStyle w:val="TableParagraph"/>
              <w:spacing w:before="210"/>
              <w:ind w:left="3911" w:right="3901"/>
              <w:jc w:val="center"/>
              <w:rPr>
                <w:i/>
                <w:sz w:val="24"/>
              </w:rPr>
            </w:pPr>
            <w:r>
              <w:rPr>
                <w:i/>
                <w:sz w:val="24"/>
              </w:rPr>
              <w:t>Regional differences: sub-regions</w:t>
            </w:r>
          </w:p>
        </w:tc>
      </w:tr>
      <w:tr w:rsidR="00C94252">
        <w:trPr>
          <w:trHeight w:val="1557"/>
        </w:trPr>
        <w:tc>
          <w:tcPr>
            <w:tcW w:w="562" w:type="dxa"/>
            <w:vMerge/>
            <w:tcBorders>
              <w:top w:val="nil"/>
              <w:bottom w:val="single" w:sz="8" w:space="0" w:color="000000"/>
            </w:tcBorders>
          </w:tcPr>
          <w:p w:rsidR="00C94252" w:rsidRDefault="00C94252">
            <w:pPr>
              <w:rPr>
                <w:sz w:val="2"/>
                <w:szCs w:val="2"/>
              </w:rPr>
            </w:pPr>
          </w:p>
        </w:tc>
        <w:tc>
          <w:tcPr>
            <w:tcW w:w="2198" w:type="dxa"/>
            <w:vMerge/>
            <w:tcBorders>
              <w:top w:val="nil"/>
              <w:bottom w:val="single" w:sz="8" w:space="0" w:color="000000"/>
            </w:tcBorders>
          </w:tcPr>
          <w:p w:rsidR="00C94252" w:rsidRDefault="00C94252">
            <w:pPr>
              <w:rPr>
                <w:sz w:val="2"/>
                <w:szCs w:val="2"/>
              </w:rPr>
            </w:pPr>
          </w:p>
        </w:tc>
        <w:tc>
          <w:tcPr>
            <w:tcW w:w="1258" w:type="dxa"/>
            <w:tcBorders>
              <w:top w:val="single" w:sz="6" w:space="0" w:color="000000"/>
              <w:bottom w:val="single" w:sz="8" w:space="0" w:color="000000"/>
            </w:tcBorders>
          </w:tcPr>
          <w:p w:rsidR="00C94252" w:rsidRDefault="00A33443">
            <w:pPr>
              <w:pStyle w:val="TableParagraph"/>
              <w:spacing w:before="220"/>
              <w:ind w:left="163" w:right="155" w:firstLine="1"/>
              <w:jc w:val="center"/>
              <w:rPr>
                <w:i/>
                <w:sz w:val="24"/>
              </w:rPr>
            </w:pPr>
            <w:r>
              <w:rPr>
                <w:i/>
                <w:sz w:val="24"/>
              </w:rPr>
              <w:t>Northern Europe (DK,</w:t>
            </w:r>
            <w:r>
              <w:rPr>
                <w:i/>
                <w:spacing w:val="-2"/>
                <w:sz w:val="24"/>
              </w:rPr>
              <w:t xml:space="preserve"> </w:t>
            </w:r>
            <w:r>
              <w:rPr>
                <w:i/>
                <w:spacing w:val="-5"/>
                <w:sz w:val="24"/>
              </w:rPr>
              <w:t>NO,</w:t>
            </w:r>
          </w:p>
          <w:p w:rsidR="00C94252" w:rsidRDefault="00A33443">
            <w:pPr>
              <w:pStyle w:val="TableParagraph"/>
              <w:spacing w:before="1"/>
              <w:ind w:left="100" w:right="95"/>
              <w:jc w:val="center"/>
              <w:rPr>
                <w:i/>
                <w:sz w:val="24"/>
              </w:rPr>
            </w:pPr>
            <w:r>
              <w:rPr>
                <w:i/>
                <w:sz w:val="24"/>
              </w:rPr>
              <w:t>SE, FI,</w:t>
            </w:r>
            <w:r>
              <w:rPr>
                <w:i/>
                <w:spacing w:val="-1"/>
                <w:sz w:val="24"/>
              </w:rPr>
              <w:t xml:space="preserve"> </w:t>
            </w:r>
            <w:r>
              <w:rPr>
                <w:i/>
                <w:sz w:val="24"/>
              </w:rPr>
              <w:t>IS)</w:t>
            </w:r>
          </w:p>
        </w:tc>
        <w:tc>
          <w:tcPr>
            <w:tcW w:w="1149" w:type="dxa"/>
            <w:tcBorders>
              <w:top w:val="single" w:sz="6" w:space="0" w:color="000000"/>
              <w:bottom w:val="single" w:sz="8" w:space="0" w:color="000000"/>
            </w:tcBorders>
          </w:tcPr>
          <w:p w:rsidR="00C94252" w:rsidRDefault="00A33443">
            <w:pPr>
              <w:pStyle w:val="TableParagraph"/>
              <w:spacing w:before="220"/>
              <w:ind w:left="84"/>
              <w:rPr>
                <w:i/>
                <w:sz w:val="24"/>
              </w:rPr>
            </w:pPr>
            <w:r>
              <w:rPr>
                <w:i/>
                <w:sz w:val="24"/>
              </w:rPr>
              <w:t>W-Europe</w:t>
            </w:r>
          </w:p>
          <w:p w:rsidR="00C94252" w:rsidRDefault="00A33443">
            <w:pPr>
              <w:pStyle w:val="TableParagraph"/>
              <w:ind w:left="16"/>
              <w:jc w:val="center"/>
              <w:rPr>
                <w:i/>
                <w:sz w:val="24"/>
              </w:rPr>
            </w:pPr>
            <w:r>
              <w:rPr>
                <w:i/>
                <w:w w:val="99"/>
                <w:sz w:val="24"/>
              </w:rPr>
              <w:t>-</w:t>
            </w:r>
          </w:p>
          <w:p w:rsidR="00C94252" w:rsidRDefault="00A33443">
            <w:pPr>
              <w:pStyle w:val="TableParagraph"/>
              <w:ind w:left="110" w:right="94"/>
              <w:jc w:val="center"/>
              <w:rPr>
                <w:i/>
                <w:sz w:val="24"/>
              </w:rPr>
            </w:pPr>
            <w:r>
              <w:rPr>
                <w:i/>
                <w:sz w:val="24"/>
              </w:rPr>
              <w:t>Bene(lux) (NL, BE)</w:t>
            </w:r>
          </w:p>
        </w:tc>
        <w:tc>
          <w:tcPr>
            <w:tcW w:w="1207" w:type="dxa"/>
            <w:tcBorders>
              <w:top w:val="single" w:sz="6" w:space="0" w:color="000000"/>
              <w:bottom w:val="single" w:sz="8" w:space="0" w:color="000000"/>
            </w:tcBorders>
          </w:tcPr>
          <w:p w:rsidR="00C94252" w:rsidRDefault="00A33443">
            <w:pPr>
              <w:pStyle w:val="TableParagraph"/>
              <w:spacing w:before="84"/>
              <w:ind w:left="113"/>
              <w:rPr>
                <w:i/>
                <w:sz w:val="24"/>
              </w:rPr>
            </w:pPr>
            <w:r>
              <w:rPr>
                <w:i/>
                <w:sz w:val="24"/>
              </w:rPr>
              <w:t>W-Europe</w:t>
            </w:r>
          </w:p>
          <w:p w:rsidR="00C94252" w:rsidRDefault="00A33443">
            <w:pPr>
              <w:pStyle w:val="TableParagraph"/>
              <w:ind w:left="12"/>
              <w:jc w:val="center"/>
              <w:rPr>
                <w:i/>
                <w:sz w:val="24"/>
              </w:rPr>
            </w:pPr>
            <w:r>
              <w:rPr>
                <w:i/>
                <w:w w:val="99"/>
                <w:sz w:val="24"/>
              </w:rPr>
              <w:t>-</w:t>
            </w:r>
          </w:p>
          <w:p w:rsidR="00C94252" w:rsidRDefault="00A33443">
            <w:pPr>
              <w:pStyle w:val="TableParagraph"/>
              <w:ind w:left="125" w:right="112"/>
              <w:jc w:val="center"/>
              <w:rPr>
                <w:i/>
                <w:sz w:val="24"/>
              </w:rPr>
            </w:pPr>
            <w:r>
              <w:rPr>
                <w:i/>
                <w:sz w:val="24"/>
              </w:rPr>
              <w:t>Germanic (DE, AT, CH)</w:t>
            </w:r>
          </w:p>
        </w:tc>
        <w:tc>
          <w:tcPr>
            <w:tcW w:w="1419" w:type="dxa"/>
            <w:tcBorders>
              <w:top w:val="single" w:sz="6" w:space="0" w:color="000000"/>
              <w:bottom w:val="single" w:sz="8" w:space="0" w:color="000000"/>
            </w:tcBorders>
          </w:tcPr>
          <w:p w:rsidR="00C94252" w:rsidRDefault="00C94252">
            <w:pPr>
              <w:pStyle w:val="TableParagraph"/>
              <w:spacing w:before="3"/>
              <w:rPr>
                <w:sz w:val="31"/>
              </w:rPr>
            </w:pPr>
          </w:p>
          <w:p w:rsidR="00C94252" w:rsidRDefault="00A33443">
            <w:pPr>
              <w:pStyle w:val="TableParagraph"/>
              <w:ind w:left="112" w:right="95"/>
              <w:jc w:val="center"/>
              <w:rPr>
                <w:i/>
                <w:sz w:val="24"/>
              </w:rPr>
            </w:pPr>
            <w:r>
              <w:rPr>
                <w:i/>
                <w:sz w:val="24"/>
              </w:rPr>
              <w:t>W-Europe - British (GB, IE)</w:t>
            </w:r>
          </w:p>
        </w:tc>
        <w:tc>
          <w:tcPr>
            <w:tcW w:w="1205" w:type="dxa"/>
            <w:tcBorders>
              <w:top w:val="single" w:sz="6" w:space="0" w:color="000000"/>
              <w:bottom w:val="single" w:sz="8" w:space="0" w:color="000000"/>
            </w:tcBorders>
          </w:tcPr>
          <w:p w:rsidR="00C94252" w:rsidRDefault="00A33443">
            <w:pPr>
              <w:pStyle w:val="TableParagraph"/>
              <w:spacing w:before="84"/>
              <w:ind w:left="308"/>
              <w:rPr>
                <w:i/>
                <w:sz w:val="24"/>
              </w:rPr>
            </w:pPr>
            <w:r>
              <w:rPr>
                <w:i/>
                <w:sz w:val="24"/>
              </w:rPr>
              <w:t>CEE -</w:t>
            </w:r>
          </w:p>
          <w:p w:rsidR="00C94252" w:rsidRDefault="00A33443">
            <w:pPr>
              <w:pStyle w:val="TableParagraph"/>
              <w:ind w:left="145" w:right="130" w:firstLine="2"/>
              <w:jc w:val="center"/>
              <w:rPr>
                <w:i/>
                <w:sz w:val="24"/>
              </w:rPr>
            </w:pPr>
            <w:r>
              <w:rPr>
                <w:i/>
                <w:sz w:val="24"/>
              </w:rPr>
              <w:t>North- East (EE, LV, LT, PL)</w:t>
            </w:r>
          </w:p>
        </w:tc>
        <w:tc>
          <w:tcPr>
            <w:tcW w:w="1147" w:type="dxa"/>
            <w:tcBorders>
              <w:top w:val="single" w:sz="6" w:space="0" w:color="000000"/>
              <w:bottom w:val="single" w:sz="8" w:space="0" w:color="000000"/>
            </w:tcBorders>
          </w:tcPr>
          <w:p w:rsidR="00C94252" w:rsidRDefault="00A33443">
            <w:pPr>
              <w:pStyle w:val="TableParagraph"/>
              <w:spacing w:before="84"/>
              <w:ind w:left="279"/>
              <w:rPr>
                <w:i/>
                <w:sz w:val="24"/>
              </w:rPr>
            </w:pPr>
            <w:r>
              <w:rPr>
                <w:i/>
                <w:sz w:val="24"/>
              </w:rPr>
              <w:t>CEE -</w:t>
            </w:r>
          </w:p>
          <w:p w:rsidR="00C94252" w:rsidRDefault="00A33443">
            <w:pPr>
              <w:pStyle w:val="TableParagraph"/>
              <w:ind w:left="142" w:right="125"/>
              <w:jc w:val="center"/>
              <w:rPr>
                <w:i/>
                <w:sz w:val="24"/>
              </w:rPr>
            </w:pPr>
            <w:r>
              <w:rPr>
                <w:i/>
                <w:sz w:val="24"/>
              </w:rPr>
              <w:t>East- Central (CZ, SK, HU, RO)</w:t>
            </w:r>
          </w:p>
        </w:tc>
        <w:tc>
          <w:tcPr>
            <w:tcW w:w="1190" w:type="dxa"/>
            <w:tcBorders>
              <w:top w:val="single" w:sz="6" w:space="0" w:color="000000"/>
              <w:bottom w:val="single" w:sz="8" w:space="0" w:color="000000"/>
            </w:tcBorders>
          </w:tcPr>
          <w:p w:rsidR="00C94252" w:rsidRDefault="00A33443">
            <w:pPr>
              <w:pStyle w:val="TableParagraph"/>
              <w:spacing w:before="84"/>
              <w:ind w:left="301"/>
              <w:rPr>
                <w:i/>
                <w:sz w:val="24"/>
              </w:rPr>
            </w:pPr>
            <w:r>
              <w:rPr>
                <w:i/>
                <w:sz w:val="24"/>
              </w:rPr>
              <w:t>CEE</w:t>
            </w:r>
            <w:r>
              <w:rPr>
                <w:i/>
                <w:spacing w:val="-1"/>
                <w:sz w:val="24"/>
              </w:rPr>
              <w:t xml:space="preserve"> </w:t>
            </w:r>
            <w:r>
              <w:rPr>
                <w:i/>
                <w:sz w:val="24"/>
              </w:rPr>
              <w:t>-</w:t>
            </w:r>
          </w:p>
          <w:p w:rsidR="00C94252" w:rsidRDefault="00A33443">
            <w:pPr>
              <w:pStyle w:val="TableParagraph"/>
              <w:ind w:left="125" w:right="110"/>
              <w:jc w:val="center"/>
              <w:rPr>
                <w:i/>
                <w:sz w:val="24"/>
              </w:rPr>
            </w:pPr>
            <w:r>
              <w:rPr>
                <w:i/>
                <w:sz w:val="24"/>
              </w:rPr>
              <w:t xml:space="preserve">South- East </w:t>
            </w:r>
            <w:r>
              <w:rPr>
                <w:i/>
                <w:spacing w:val="-8"/>
                <w:sz w:val="24"/>
              </w:rPr>
              <w:t xml:space="preserve">(BG, </w:t>
            </w:r>
            <w:r>
              <w:rPr>
                <w:i/>
                <w:sz w:val="24"/>
              </w:rPr>
              <w:t>SI,</w:t>
            </w:r>
            <w:r>
              <w:rPr>
                <w:i/>
                <w:spacing w:val="-1"/>
                <w:sz w:val="24"/>
              </w:rPr>
              <w:t xml:space="preserve"> </w:t>
            </w:r>
            <w:r>
              <w:rPr>
                <w:i/>
                <w:sz w:val="24"/>
              </w:rPr>
              <w:t>RS,</w:t>
            </w:r>
          </w:p>
          <w:p w:rsidR="00C94252" w:rsidRDefault="00A33443">
            <w:pPr>
              <w:pStyle w:val="TableParagraph"/>
              <w:ind w:left="125" w:right="110"/>
              <w:jc w:val="center"/>
              <w:rPr>
                <w:i/>
                <w:sz w:val="24"/>
              </w:rPr>
            </w:pPr>
            <w:r>
              <w:rPr>
                <w:i/>
                <w:sz w:val="24"/>
              </w:rPr>
              <w:t>HR, BA)</w:t>
            </w:r>
          </w:p>
        </w:tc>
        <w:tc>
          <w:tcPr>
            <w:tcW w:w="1419" w:type="dxa"/>
            <w:tcBorders>
              <w:top w:val="single" w:sz="6" w:space="0" w:color="000000"/>
              <w:bottom w:val="single" w:sz="8" w:space="0" w:color="000000"/>
            </w:tcBorders>
          </w:tcPr>
          <w:p w:rsidR="00C94252" w:rsidRDefault="00A33443">
            <w:pPr>
              <w:pStyle w:val="TableParagraph"/>
              <w:spacing w:before="220"/>
              <w:ind w:left="112" w:right="96"/>
              <w:jc w:val="center"/>
              <w:rPr>
                <w:i/>
                <w:sz w:val="24"/>
              </w:rPr>
            </w:pPr>
            <w:r>
              <w:rPr>
                <w:i/>
                <w:sz w:val="24"/>
              </w:rPr>
              <w:t xml:space="preserve">South- Europe </w:t>
            </w:r>
            <w:r>
              <w:rPr>
                <w:i/>
                <w:spacing w:val="-5"/>
                <w:sz w:val="24"/>
              </w:rPr>
              <w:t xml:space="preserve">(FR, </w:t>
            </w:r>
            <w:r>
              <w:rPr>
                <w:i/>
                <w:sz w:val="24"/>
              </w:rPr>
              <w:t>GR, IT,</w:t>
            </w:r>
            <w:r>
              <w:rPr>
                <w:i/>
                <w:spacing w:val="-2"/>
                <w:sz w:val="24"/>
              </w:rPr>
              <w:t xml:space="preserve"> </w:t>
            </w:r>
            <w:r>
              <w:rPr>
                <w:i/>
                <w:sz w:val="24"/>
              </w:rPr>
              <w:t>PT,</w:t>
            </w:r>
          </w:p>
          <w:p w:rsidR="00C94252" w:rsidRDefault="00A33443">
            <w:pPr>
              <w:pStyle w:val="TableParagraph"/>
              <w:spacing w:before="1"/>
              <w:ind w:left="112" w:right="96"/>
              <w:jc w:val="center"/>
              <w:rPr>
                <w:i/>
                <w:sz w:val="24"/>
              </w:rPr>
            </w:pPr>
            <w:r>
              <w:rPr>
                <w:i/>
                <w:sz w:val="24"/>
              </w:rPr>
              <w:t>MT, ES,</w:t>
            </w:r>
            <w:r>
              <w:rPr>
                <w:i/>
                <w:spacing w:val="-3"/>
                <w:sz w:val="24"/>
              </w:rPr>
              <w:t xml:space="preserve"> </w:t>
            </w:r>
            <w:r>
              <w:rPr>
                <w:i/>
                <w:sz w:val="24"/>
              </w:rPr>
              <w:t>IL)</w:t>
            </w:r>
          </w:p>
        </w:tc>
        <w:tc>
          <w:tcPr>
            <w:tcW w:w="1121" w:type="dxa"/>
            <w:tcBorders>
              <w:top w:val="single" w:sz="6" w:space="0" w:color="000000"/>
              <w:bottom w:val="single" w:sz="8" w:space="0" w:color="000000"/>
            </w:tcBorders>
          </w:tcPr>
          <w:p w:rsidR="00C94252" w:rsidRDefault="00C94252">
            <w:pPr>
              <w:pStyle w:val="TableParagraph"/>
              <w:rPr>
                <w:sz w:val="26"/>
              </w:rPr>
            </w:pPr>
          </w:p>
          <w:p w:rsidR="00C94252" w:rsidRDefault="00C94252">
            <w:pPr>
              <w:pStyle w:val="TableParagraph"/>
              <w:spacing w:before="3"/>
              <w:rPr>
                <w:sz w:val="29"/>
              </w:rPr>
            </w:pPr>
          </w:p>
          <w:p w:rsidR="00C94252" w:rsidRDefault="00A33443">
            <w:pPr>
              <w:pStyle w:val="TableParagraph"/>
              <w:ind w:left="15"/>
              <w:jc w:val="center"/>
              <w:rPr>
                <w:i/>
                <w:sz w:val="24"/>
              </w:rPr>
            </w:pPr>
            <w:r>
              <w:rPr>
                <w:i/>
                <w:sz w:val="24"/>
              </w:rPr>
              <w:t>p</w:t>
            </w:r>
          </w:p>
        </w:tc>
      </w:tr>
      <w:tr w:rsidR="00C94252">
        <w:trPr>
          <w:trHeight w:val="767"/>
        </w:trPr>
        <w:tc>
          <w:tcPr>
            <w:tcW w:w="2760" w:type="dxa"/>
            <w:gridSpan w:val="2"/>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left="732"/>
              <w:rPr>
                <w:sz w:val="24"/>
              </w:rPr>
            </w:pPr>
            <w:r>
              <w:rPr>
                <w:sz w:val="24"/>
              </w:rPr>
              <w:t>Overall mean</w:t>
            </w:r>
          </w:p>
        </w:tc>
        <w:tc>
          <w:tcPr>
            <w:tcW w:w="1258"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9"/>
              <w:jc w:val="right"/>
              <w:rPr>
                <w:sz w:val="24"/>
              </w:rPr>
            </w:pPr>
            <w:r>
              <w:rPr>
                <w:sz w:val="24"/>
              </w:rPr>
              <w:t>3,02</w:t>
            </w:r>
          </w:p>
        </w:tc>
        <w:tc>
          <w:tcPr>
            <w:tcW w:w="1149"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3"/>
              <w:jc w:val="right"/>
              <w:rPr>
                <w:sz w:val="24"/>
              </w:rPr>
            </w:pPr>
            <w:r>
              <w:rPr>
                <w:sz w:val="24"/>
              </w:rPr>
              <w:t>3,55</w:t>
            </w:r>
          </w:p>
        </w:tc>
        <w:tc>
          <w:tcPr>
            <w:tcW w:w="1207"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7"/>
              <w:jc w:val="right"/>
              <w:rPr>
                <w:sz w:val="24"/>
              </w:rPr>
            </w:pPr>
            <w:r>
              <w:rPr>
                <w:sz w:val="24"/>
              </w:rPr>
              <w:t>3,34</w:t>
            </w:r>
          </w:p>
        </w:tc>
        <w:tc>
          <w:tcPr>
            <w:tcW w:w="1419"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6"/>
              <w:jc w:val="right"/>
              <w:rPr>
                <w:sz w:val="24"/>
              </w:rPr>
            </w:pPr>
            <w:r>
              <w:rPr>
                <w:sz w:val="24"/>
              </w:rPr>
              <w:t>3,32</w:t>
            </w:r>
          </w:p>
        </w:tc>
        <w:tc>
          <w:tcPr>
            <w:tcW w:w="1205"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6"/>
              <w:jc w:val="right"/>
              <w:rPr>
                <w:sz w:val="24"/>
              </w:rPr>
            </w:pPr>
            <w:r>
              <w:rPr>
                <w:sz w:val="24"/>
              </w:rPr>
              <w:t>3,09</w:t>
            </w:r>
          </w:p>
        </w:tc>
        <w:tc>
          <w:tcPr>
            <w:tcW w:w="1147"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3"/>
              <w:jc w:val="right"/>
              <w:rPr>
                <w:sz w:val="24"/>
              </w:rPr>
            </w:pPr>
            <w:r>
              <w:rPr>
                <w:sz w:val="24"/>
              </w:rPr>
              <w:t>3,22</w:t>
            </w:r>
          </w:p>
        </w:tc>
        <w:tc>
          <w:tcPr>
            <w:tcW w:w="1190"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5"/>
              <w:jc w:val="right"/>
              <w:rPr>
                <w:sz w:val="24"/>
              </w:rPr>
            </w:pPr>
            <w:r>
              <w:rPr>
                <w:sz w:val="24"/>
              </w:rPr>
              <w:t>2,67</w:t>
            </w:r>
          </w:p>
        </w:tc>
        <w:tc>
          <w:tcPr>
            <w:tcW w:w="1419"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5"/>
              <w:jc w:val="right"/>
              <w:rPr>
                <w:sz w:val="24"/>
              </w:rPr>
            </w:pPr>
            <w:r>
              <w:rPr>
                <w:sz w:val="24"/>
              </w:rPr>
              <w:t>2,83</w:t>
            </w:r>
          </w:p>
        </w:tc>
        <w:tc>
          <w:tcPr>
            <w:tcW w:w="1121" w:type="dxa"/>
            <w:tcBorders>
              <w:top w:val="single" w:sz="8" w:space="0" w:color="000000"/>
              <w:bottom w:val="nil"/>
            </w:tcBorders>
          </w:tcPr>
          <w:p w:rsidR="00C94252" w:rsidRDefault="00C94252">
            <w:pPr>
              <w:pStyle w:val="TableParagraph"/>
              <w:spacing w:before="7"/>
              <w:rPr>
                <w:sz w:val="20"/>
              </w:rPr>
            </w:pPr>
          </w:p>
          <w:p w:rsidR="00C94252" w:rsidRDefault="00A33443">
            <w:pPr>
              <w:pStyle w:val="TableParagraph"/>
              <w:ind w:right="62"/>
              <w:jc w:val="right"/>
              <w:rPr>
                <w:i/>
                <w:sz w:val="24"/>
              </w:rPr>
            </w:pPr>
            <w:r>
              <w:rPr>
                <w:i/>
                <w:w w:val="99"/>
                <w:sz w:val="24"/>
              </w:rPr>
              <w:t>-</w:t>
            </w:r>
          </w:p>
        </w:tc>
      </w:tr>
      <w:tr w:rsidR="00C94252">
        <w:trPr>
          <w:trHeight w:val="756"/>
        </w:trPr>
        <w:tc>
          <w:tcPr>
            <w:tcW w:w="562"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left="14"/>
              <w:jc w:val="center"/>
              <w:rPr>
                <w:sz w:val="24"/>
              </w:rPr>
            </w:pPr>
            <w:r>
              <w:rPr>
                <w:sz w:val="24"/>
              </w:rPr>
              <w:t>1</w:t>
            </w:r>
          </w:p>
        </w:tc>
        <w:tc>
          <w:tcPr>
            <w:tcW w:w="2198" w:type="dxa"/>
            <w:tcBorders>
              <w:top w:val="nil"/>
              <w:bottom w:val="nil"/>
            </w:tcBorders>
          </w:tcPr>
          <w:p w:rsidR="00C94252" w:rsidRDefault="00C94252">
            <w:pPr>
              <w:pStyle w:val="TableParagraph"/>
              <w:spacing w:before="1"/>
              <w:rPr>
                <w:sz w:val="21"/>
              </w:rPr>
            </w:pPr>
          </w:p>
          <w:p w:rsidR="00C94252" w:rsidRDefault="00A33443">
            <w:pPr>
              <w:pStyle w:val="TableParagraph"/>
              <w:ind w:left="81"/>
              <w:rPr>
                <w:b/>
                <w:sz w:val="24"/>
              </w:rPr>
            </w:pPr>
            <w:r>
              <w:rPr>
                <w:b/>
                <w:sz w:val="24"/>
              </w:rPr>
              <w:t>***Local council</w:t>
            </w:r>
          </w:p>
        </w:tc>
        <w:tc>
          <w:tcPr>
            <w:tcW w:w="1258"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9"/>
              <w:jc w:val="right"/>
              <w:rPr>
                <w:sz w:val="24"/>
              </w:rPr>
            </w:pPr>
            <w:r>
              <w:rPr>
                <w:sz w:val="24"/>
              </w:rPr>
              <w:t>3,58</w:t>
            </w:r>
          </w:p>
        </w:tc>
        <w:tc>
          <w:tcPr>
            <w:tcW w:w="1149"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3"/>
              <w:jc w:val="right"/>
              <w:rPr>
                <w:sz w:val="24"/>
              </w:rPr>
            </w:pPr>
            <w:r>
              <w:rPr>
                <w:sz w:val="24"/>
              </w:rPr>
              <w:t>3,50</w:t>
            </w:r>
          </w:p>
        </w:tc>
        <w:tc>
          <w:tcPr>
            <w:tcW w:w="1207"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7"/>
              <w:jc w:val="right"/>
              <w:rPr>
                <w:sz w:val="24"/>
              </w:rPr>
            </w:pPr>
            <w:r>
              <w:rPr>
                <w:sz w:val="24"/>
              </w:rPr>
              <w:t>4,00</w:t>
            </w:r>
          </w:p>
        </w:tc>
        <w:tc>
          <w:tcPr>
            <w:tcW w:w="1419"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6"/>
              <w:jc w:val="right"/>
              <w:rPr>
                <w:sz w:val="24"/>
              </w:rPr>
            </w:pPr>
            <w:r>
              <w:rPr>
                <w:sz w:val="24"/>
              </w:rPr>
              <w:t>4,00</w:t>
            </w:r>
          </w:p>
        </w:tc>
        <w:tc>
          <w:tcPr>
            <w:tcW w:w="1205"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6"/>
              <w:jc w:val="right"/>
              <w:rPr>
                <w:sz w:val="24"/>
              </w:rPr>
            </w:pPr>
            <w:r>
              <w:rPr>
                <w:sz w:val="24"/>
              </w:rPr>
              <w:t>3,00</w:t>
            </w:r>
          </w:p>
        </w:tc>
        <w:tc>
          <w:tcPr>
            <w:tcW w:w="1147"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3"/>
              <w:jc w:val="right"/>
              <w:rPr>
                <w:sz w:val="24"/>
              </w:rPr>
            </w:pPr>
            <w:r>
              <w:rPr>
                <w:sz w:val="24"/>
              </w:rPr>
              <w:t>3,90</w:t>
            </w:r>
          </w:p>
        </w:tc>
        <w:tc>
          <w:tcPr>
            <w:tcW w:w="1190"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5"/>
              <w:jc w:val="right"/>
              <w:rPr>
                <w:sz w:val="24"/>
              </w:rPr>
            </w:pPr>
            <w:r>
              <w:rPr>
                <w:sz w:val="24"/>
              </w:rPr>
              <w:t>2,78</w:t>
            </w:r>
          </w:p>
        </w:tc>
        <w:tc>
          <w:tcPr>
            <w:tcW w:w="1419" w:type="dxa"/>
            <w:tcBorders>
              <w:top w:val="nil"/>
              <w:bottom w:val="nil"/>
            </w:tcBorders>
          </w:tcPr>
          <w:p w:rsidR="00C94252" w:rsidRDefault="00C94252">
            <w:pPr>
              <w:pStyle w:val="TableParagraph"/>
              <w:spacing w:before="7"/>
              <w:rPr>
                <w:sz w:val="20"/>
              </w:rPr>
            </w:pPr>
          </w:p>
          <w:p w:rsidR="00C94252" w:rsidRDefault="00A33443">
            <w:pPr>
              <w:pStyle w:val="TableParagraph"/>
              <w:spacing w:before="1"/>
              <w:ind w:right="65"/>
              <w:jc w:val="right"/>
              <w:rPr>
                <w:sz w:val="24"/>
              </w:rPr>
            </w:pPr>
            <w:r>
              <w:rPr>
                <w:sz w:val="24"/>
              </w:rPr>
              <w:t>3,14</w:t>
            </w:r>
          </w:p>
        </w:tc>
        <w:tc>
          <w:tcPr>
            <w:tcW w:w="1121" w:type="dxa"/>
            <w:tcBorders>
              <w:top w:val="nil"/>
              <w:bottom w:val="nil"/>
            </w:tcBorders>
          </w:tcPr>
          <w:p w:rsidR="00C94252" w:rsidRDefault="00C94252">
            <w:pPr>
              <w:pStyle w:val="TableParagraph"/>
              <w:spacing w:before="1"/>
              <w:rPr>
                <w:sz w:val="21"/>
              </w:rPr>
            </w:pPr>
          </w:p>
          <w:p w:rsidR="00C94252" w:rsidRDefault="00A33443">
            <w:pPr>
              <w:pStyle w:val="TableParagraph"/>
              <w:ind w:right="63"/>
              <w:jc w:val="right"/>
              <w:rPr>
                <w:b/>
                <w:sz w:val="24"/>
              </w:rPr>
            </w:pPr>
            <w:r>
              <w:rPr>
                <w:b/>
                <w:sz w:val="24"/>
              </w:rPr>
              <w:t>0,000</w:t>
            </w:r>
          </w:p>
        </w:tc>
      </w:tr>
      <w:tr w:rsidR="00C94252">
        <w:trPr>
          <w:trHeight w:val="715"/>
        </w:trPr>
        <w:tc>
          <w:tcPr>
            <w:tcW w:w="562" w:type="dxa"/>
            <w:tcBorders>
              <w:top w:val="nil"/>
              <w:bottom w:val="single" w:sz="6" w:space="0" w:color="000000"/>
            </w:tcBorders>
          </w:tcPr>
          <w:p w:rsidR="00C94252" w:rsidRDefault="00A33443">
            <w:pPr>
              <w:pStyle w:val="TableParagraph"/>
              <w:spacing w:before="218"/>
              <w:ind w:left="14"/>
              <w:jc w:val="center"/>
              <w:rPr>
                <w:sz w:val="24"/>
              </w:rPr>
            </w:pPr>
            <w:r>
              <w:rPr>
                <w:sz w:val="24"/>
              </w:rPr>
              <w:t>2</w:t>
            </w:r>
          </w:p>
        </w:tc>
        <w:tc>
          <w:tcPr>
            <w:tcW w:w="2198" w:type="dxa"/>
            <w:tcBorders>
              <w:top w:val="nil"/>
              <w:bottom w:val="single" w:sz="6" w:space="0" w:color="000000"/>
            </w:tcBorders>
          </w:tcPr>
          <w:p w:rsidR="00C94252" w:rsidRDefault="00A33443">
            <w:pPr>
              <w:pStyle w:val="TableParagraph"/>
              <w:spacing w:before="86"/>
              <w:ind w:left="81" w:right="980"/>
              <w:rPr>
                <w:b/>
                <w:sz w:val="24"/>
              </w:rPr>
            </w:pPr>
            <w:r>
              <w:rPr>
                <w:b/>
                <w:sz w:val="24"/>
              </w:rPr>
              <w:t>***Local authorities</w:t>
            </w:r>
          </w:p>
        </w:tc>
        <w:tc>
          <w:tcPr>
            <w:tcW w:w="1258" w:type="dxa"/>
            <w:tcBorders>
              <w:top w:val="nil"/>
              <w:bottom w:val="single" w:sz="6" w:space="0" w:color="000000"/>
            </w:tcBorders>
          </w:tcPr>
          <w:p w:rsidR="00C94252" w:rsidRDefault="00A33443">
            <w:pPr>
              <w:pStyle w:val="TableParagraph"/>
              <w:spacing w:before="218"/>
              <w:ind w:right="69"/>
              <w:jc w:val="right"/>
              <w:rPr>
                <w:sz w:val="24"/>
              </w:rPr>
            </w:pPr>
            <w:r>
              <w:rPr>
                <w:sz w:val="24"/>
              </w:rPr>
              <w:t>3,62</w:t>
            </w:r>
          </w:p>
        </w:tc>
        <w:tc>
          <w:tcPr>
            <w:tcW w:w="1149" w:type="dxa"/>
            <w:tcBorders>
              <w:top w:val="nil"/>
              <w:bottom w:val="single" w:sz="6" w:space="0" w:color="000000"/>
            </w:tcBorders>
          </w:tcPr>
          <w:p w:rsidR="00C94252" w:rsidRDefault="00A33443">
            <w:pPr>
              <w:pStyle w:val="TableParagraph"/>
              <w:spacing w:before="218"/>
              <w:ind w:right="63"/>
              <w:jc w:val="right"/>
              <w:rPr>
                <w:sz w:val="24"/>
              </w:rPr>
            </w:pPr>
            <w:r>
              <w:rPr>
                <w:sz w:val="24"/>
              </w:rPr>
              <w:t>3,50</w:t>
            </w:r>
          </w:p>
        </w:tc>
        <w:tc>
          <w:tcPr>
            <w:tcW w:w="1207" w:type="dxa"/>
            <w:tcBorders>
              <w:top w:val="nil"/>
              <w:bottom w:val="single" w:sz="6" w:space="0" w:color="000000"/>
            </w:tcBorders>
          </w:tcPr>
          <w:p w:rsidR="00C94252" w:rsidRDefault="00A33443">
            <w:pPr>
              <w:pStyle w:val="TableParagraph"/>
              <w:spacing w:before="218"/>
              <w:ind w:right="67"/>
              <w:jc w:val="right"/>
              <w:rPr>
                <w:sz w:val="24"/>
              </w:rPr>
            </w:pPr>
            <w:r>
              <w:rPr>
                <w:sz w:val="24"/>
              </w:rPr>
              <w:t>3,50</w:t>
            </w:r>
          </w:p>
        </w:tc>
        <w:tc>
          <w:tcPr>
            <w:tcW w:w="1419" w:type="dxa"/>
            <w:tcBorders>
              <w:top w:val="nil"/>
              <w:bottom w:val="single" w:sz="6" w:space="0" w:color="000000"/>
            </w:tcBorders>
          </w:tcPr>
          <w:p w:rsidR="00C94252" w:rsidRDefault="00A33443">
            <w:pPr>
              <w:pStyle w:val="TableParagraph"/>
              <w:spacing w:before="218"/>
              <w:ind w:right="66"/>
              <w:jc w:val="right"/>
              <w:rPr>
                <w:sz w:val="24"/>
              </w:rPr>
            </w:pPr>
            <w:r>
              <w:rPr>
                <w:sz w:val="24"/>
              </w:rPr>
              <w:t>3,80</w:t>
            </w:r>
          </w:p>
        </w:tc>
        <w:tc>
          <w:tcPr>
            <w:tcW w:w="1205" w:type="dxa"/>
            <w:tcBorders>
              <w:top w:val="nil"/>
              <w:bottom w:val="single" w:sz="6" w:space="0" w:color="000000"/>
            </w:tcBorders>
          </w:tcPr>
          <w:p w:rsidR="00C94252" w:rsidRDefault="00A33443">
            <w:pPr>
              <w:pStyle w:val="TableParagraph"/>
              <w:spacing w:before="218"/>
              <w:ind w:right="66"/>
              <w:jc w:val="right"/>
              <w:rPr>
                <w:sz w:val="24"/>
              </w:rPr>
            </w:pPr>
            <w:r>
              <w:rPr>
                <w:sz w:val="24"/>
              </w:rPr>
              <w:t>3,43</w:t>
            </w:r>
          </w:p>
        </w:tc>
        <w:tc>
          <w:tcPr>
            <w:tcW w:w="1147" w:type="dxa"/>
            <w:tcBorders>
              <w:top w:val="nil"/>
              <w:bottom w:val="single" w:sz="6" w:space="0" w:color="000000"/>
            </w:tcBorders>
          </w:tcPr>
          <w:p w:rsidR="00C94252" w:rsidRDefault="00A33443">
            <w:pPr>
              <w:pStyle w:val="TableParagraph"/>
              <w:spacing w:before="218"/>
              <w:ind w:right="63"/>
              <w:jc w:val="right"/>
              <w:rPr>
                <w:sz w:val="24"/>
              </w:rPr>
            </w:pPr>
            <w:r>
              <w:rPr>
                <w:sz w:val="24"/>
              </w:rPr>
              <w:t>3,91</w:t>
            </w:r>
          </w:p>
        </w:tc>
        <w:tc>
          <w:tcPr>
            <w:tcW w:w="1190" w:type="dxa"/>
            <w:tcBorders>
              <w:top w:val="nil"/>
              <w:bottom w:val="single" w:sz="6" w:space="0" w:color="000000"/>
            </w:tcBorders>
          </w:tcPr>
          <w:p w:rsidR="00C94252" w:rsidRDefault="00A33443">
            <w:pPr>
              <w:pStyle w:val="TableParagraph"/>
              <w:spacing w:before="218"/>
              <w:ind w:right="65"/>
              <w:jc w:val="right"/>
              <w:rPr>
                <w:sz w:val="24"/>
              </w:rPr>
            </w:pPr>
            <w:r>
              <w:rPr>
                <w:sz w:val="24"/>
              </w:rPr>
              <w:t>2,44</w:t>
            </w:r>
          </w:p>
        </w:tc>
        <w:tc>
          <w:tcPr>
            <w:tcW w:w="1419" w:type="dxa"/>
            <w:tcBorders>
              <w:top w:val="nil"/>
              <w:bottom w:val="single" w:sz="6" w:space="0" w:color="000000"/>
            </w:tcBorders>
          </w:tcPr>
          <w:p w:rsidR="00C94252" w:rsidRDefault="00A33443">
            <w:pPr>
              <w:pStyle w:val="TableParagraph"/>
              <w:spacing w:before="218"/>
              <w:ind w:right="65"/>
              <w:jc w:val="right"/>
              <w:rPr>
                <w:sz w:val="24"/>
              </w:rPr>
            </w:pPr>
            <w:r>
              <w:rPr>
                <w:sz w:val="24"/>
              </w:rPr>
              <w:t>3,14</w:t>
            </w:r>
          </w:p>
        </w:tc>
        <w:tc>
          <w:tcPr>
            <w:tcW w:w="1121" w:type="dxa"/>
            <w:tcBorders>
              <w:top w:val="nil"/>
              <w:bottom w:val="single" w:sz="6" w:space="0" w:color="000000"/>
            </w:tcBorders>
          </w:tcPr>
          <w:p w:rsidR="00C94252" w:rsidRDefault="00A33443">
            <w:pPr>
              <w:pStyle w:val="TableParagraph"/>
              <w:spacing w:before="223"/>
              <w:ind w:right="63"/>
              <w:jc w:val="right"/>
              <w:rPr>
                <w:b/>
                <w:sz w:val="24"/>
              </w:rPr>
            </w:pPr>
            <w:r>
              <w:rPr>
                <w:b/>
                <w:sz w:val="24"/>
              </w:rPr>
              <w:t>0,000</w:t>
            </w:r>
          </w:p>
        </w:tc>
      </w:tr>
      <w:tr w:rsidR="00C94252">
        <w:trPr>
          <w:trHeight w:val="707"/>
        </w:trPr>
        <w:tc>
          <w:tcPr>
            <w:tcW w:w="562" w:type="dxa"/>
            <w:tcBorders>
              <w:top w:val="single" w:sz="6" w:space="0" w:color="000000"/>
              <w:bottom w:val="single" w:sz="6" w:space="0" w:color="000000"/>
            </w:tcBorders>
          </w:tcPr>
          <w:p w:rsidR="00C94252" w:rsidRDefault="00A33443">
            <w:pPr>
              <w:pStyle w:val="TableParagraph"/>
              <w:spacing w:before="211"/>
              <w:ind w:left="14"/>
              <w:jc w:val="center"/>
              <w:rPr>
                <w:sz w:val="24"/>
              </w:rPr>
            </w:pPr>
            <w:r>
              <w:rPr>
                <w:sz w:val="24"/>
              </w:rPr>
              <w:t>3</w:t>
            </w:r>
          </w:p>
        </w:tc>
        <w:tc>
          <w:tcPr>
            <w:tcW w:w="2198" w:type="dxa"/>
            <w:tcBorders>
              <w:top w:val="single" w:sz="6" w:space="0" w:color="000000"/>
              <w:bottom w:val="single" w:sz="6" w:space="0" w:color="000000"/>
            </w:tcBorders>
          </w:tcPr>
          <w:p w:rsidR="00C94252" w:rsidRDefault="00A33443">
            <w:pPr>
              <w:pStyle w:val="TableParagraph"/>
              <w:spacing w:before="79"/>
              <w:ind w:left="81" w:right="440"/>
              <w:rPr>
                <w:b/>
                <w:sz w:val="24"/>
              </w:rPr>
            </w:pPr>
            <w:r>
              <w:rPr>
                <w:b/>
                <w:sz w:val="24"/>
              </w:rPr>
              <w:t>**Local interest groups</w:t>
            </w:r>
          </w:p>
        </w:tc>
        <w:tc>
          <w:tcPr>
            <w:tcW w:w="1258" w:type="dxa"/>
            <w:tcBorders>
              <w:top w:val="single" w:sz="6" w:space="0" w:color="000000"/>
              <w:bottom w:val="single" w:sz="6" w:space="0" w:color="000000"/>
            </w:tcBorders>
          </w:tcPr>
          <w:p w:rsidR="00C94252" w:rsidRDefault="00A33443">
            <w:pPr>
              <w:pStyle w:val="TableParagraph"/>
              <w:spacing w:before="211"/>
              <w:ind w:right="69"/>
              <w:jc w:val="right"/>
              <w:rPr>
                <w:sz w:val="24"/>
              </w:rPr>
            </w:pPr>
            <w:r>
              <w:rPr>
                <w:sz w:val="24"/>
              </w:rPr>
              <w:t>2,77</w:t>
            </w:r>
          </w:p>
        </w:tc>
        <w:tc>
          <w:tcPr>
            <w:tcW w:w="1149" w:type="dxa"/>
            <w:tcBorders>
              <w:top w:val="single" w:sz="6" w:space="0" w:color="000000"/>
              <w:bottom w:val="single" w:sz="6" w:space="0" w:color="000000"/>
            </w:tcBorders>
          </w:tcPr>
          <w:p w:rsidR="00C94252" w:rsidRDefault="00A33443">
            <w:pPr>
              <w:pStyle w:val="TableParagraph"/>
              <w:spacing w:before="211"/>
              <w:ind w:right="63"/>
              <w:jc w:val="right"/>
              <w:rPr>
                <w:sz w:val="24"/>
              </w:rPr>
            </w:pPr>
            <w:r>
              <w:rPr>
                <w:sz w:val="24"/>
              </w:rPr>
              <w:t>3,83</w:t>
            </w:r>
          </w:p>
        </w:tc>
        <w:tc>
          <w:tcPr>
            <w:tcW w:w="1207" w:type="dxa"/>
            <w:tcBorders>
              <w:top w:val="single" w:sz="6" w:space="0" w:color="000000"/>
              <w:bottom w:val="single" w:sz="6" w:space="0" w:color="000000"/>
            </w:tcBorders>
          </w:tcPr>
          <w:p w:rsidR="00C94252" w:rsidRDefault="00A33443">
            <w:pPr>
              <w:pStyle w:val="TableParagraph"/>
              <w:spacing w:before="211"/>
              <w:ind w:right="67"/>
              <w:jc w:val="right"/>
              <w:rPr>
                <w:sz w:val="24"/>
              </w:rPr>
            </w:pPr>
            <w:r>
              <w:rPr>
                <w:sz w:val="24"/>
              </w:rPr>
              <w:t>3,33</w:t>
            </w:r>
          </w:p>
        </w:tc>
        <w:tc>
          <w:tcPr>
            <w:tcW w:w="1419" w:type="dxa"/>
            <w:tcBorders>
              <w:top w:val="single" w:sz="6" w:space="0" w:color="000000"/>
              <w:bottom w:val="single" w:sz="6" w:space="0" w:color="000000"/>
            </w:tcBorders>
          </w:tcPr>
          <w:p w:rsidR="00C94252" w:rsidRDefault="00A33443">
            <w:pPr>
              <w:pStyle w:val="TableParagraph"/>
              <w:spacing w:before="211"/>
              <w:ind w:right="66"/>
              <w:jc w:val="right"/>
              <w:rPr>
                <w:sz w:val="24"/>
              </w:rPr>
            </w:pPr>
            <w:r>
              <w:rPr>
                <w:sz w:val="24"/>
              </w:rPr>
              <w:t>3,20</w:t>
            </w:r>
          </w:p>
        </w:tc>
        <w:tc>
          <w:tcPr>
            <w:tcW w:w="1205" w:type="dxa"/>
            <w:tcBorders>
              <w:top w:val="single" w:sz="6" w:space="0" w:color="000000"/>
              <w:bottom w:val="single" w:sz="6" w:space="0" w:color="000000"/>
            </w:tcBorders>
          </w:tcPr>
          <w:p w:rsidR="00C94252" w:rsidRDefault="00A33443">
            <w:pPr>
              <w:pStyle w:val="TableParagraph"/>
              <w:spacing w:before="211"/>
              <w:ind w:right="66"/>
              <w:jc w:val="right"/>
              <w:rPr>
                <w:sz w:val="24"/>
              </w:rPr>
            </w:pPr>
            <w:r>
              <w:rPr>
                <w:sz w:val="24"/>
              </w:rPr>
              <w:t>3,29</w:t>
            </w:r>
          </w:p>
        </w:tc>
        <w:tc>
          <w:tcPr>
            <w:tcW w:w="1147" w:type="dxa"/>
            <w:tcBorders>
              <w:top w:val="single" w:sz="6" w:space="0" w:color="000000"/>
              <w:bottom w:val="single" w:sz="6" w:space="0" w:color="000000"/>
            </w:tcBorders>
          </w:tcPr>
          <w:p w:rsidR="00C94252" w:rsidRDefault="00A33443">
            <w:pPr>
              <w:pStyle w:val="TableParagraph"/>
              <w:spacing w:before="211"/>
              <w:ind w:right="63"/>
              <w:jc w:val="right"/>
              <w:rPr>
                <w:sz w:val="24"/>
              </w:rPr>
            </w:pPr>
            <w:r>
              <w:rPr>
                <w:sz w:val="24"/>
              </w:rPr>
              <w:t>3,36</w:t>
            </w:r>
          </w:p>
        </w:tc>
        <w:tc>
          <w:tcPr>
            <w:tcW w:w="1190" w:type="dxa"/>
            <w:tcBorders>
              <w:top w:val="single" w:sz="6" w:space="0" w:color="000000"/>
              <w:bottom w:val="single" w:sz="6" w:space="0" w:color="000000"/>
            </w:tcBorders>
          </w:tcPr>
          <w:p w:rsidR="00C94252" w:rsidRDefault="00A33443">
            <w:pPr>
              <w:pStyle w:val="TableParagraph"/>
              <w:spacing w:before="211"/>
              <w:ind w:right="65"/>
              <w:jc w:val="right"/>
              <w:rPr>
                <w:sz w:val="24"/>
              </w:rPr>
            </w:pPr>
            <w:r>
              <w:rPr>
                <w:sz w:val="24"/>
              </w:rPr>
              <w:t>3,11</w:t>
            </w:r>
          </w:p>
        </w:tc>
        <w:tc>
          <w:tcPr>
            <w:tcW w:w="1419" w:type="dxa"/>
            <w:tcBorders>
              <w:top w:val="single" w:sz="6" w:space="0" w:color="000000"/>
              <w:bottom w:val="single" w:sz="6" w:space="0" w:color="000000"/>
            </w:tcBorders>
          </w:tcPr>
          <w:p w:rsidR="00C94252" w:rsidRDefault="00A33443">
            <w:pPr>
              <w:pStyle w:val="TableParagraph"/>
              <w:spacing w:before="211"/>
              <w:ind w:right="65"/>
              <w:jc w:val="right"/>
              <w:rPr>
                <w:sz w:val="24"/>
              </w:rPr>
            </w:pPr>
            <w:r>
              <w:rPr>
                <w:sz w:val="24"/>
              </w:rPr>
              <w:t>2,71</w:t>
            </w:r>
          </w:p>
        </w:tc>
        <w:tc>
          <w:tcPr>
            <w:tcW w:w="1121" w:type="dxa"/>
            <w:tcBorders>
              <w:top w:val="single" w:sz="6" w:space="0" w:color="000000"/>
              <w:bottom w:val="single" w:sz="6" w:space="0" w:color="000000"/>
            </w:tcBorders>
          </w:tcPr>
          <w:p w:rsidR="00C94252" w:rsidRDefault="00A33443">
            <w:pPr>
              <w:pStyle w:val="TableParagraph"/>
              <w:spacing w:before="216"/>
              <w:ind w:right="63"/>
              <w:jc w:val="right"/>
              <w:rPr>
                <w:b/>
                <w:sz w:val="24"/>
              </w:rPr>
            </w:pPr>
            <w:r>
              <w:rPr>
                <w:b/>
                <w:sz w:val="24"/>
              </w:rPr>
              <w:t>0,079</w:t>
            </w:r>
          </w:p>
        </w:tc>
      </w:tr>
      <w:tr w:rsidR="00C94252">
        <w:trPr>
          <w:trHeight w:val="714"/>
        </w:trPr>
        <w:tc>
          <w:tcPr>
            <w:tcW w:w="562" w:type="dxa"/>
            <w:tcBorders>
              <w:top w:val="single" w:sz="6" w:space="0" w:color="000000"/>
              <w:bottom w:val="nil"/>
            </w:tcBorders>
          </w:tcPr>
          <w:p w:rsidR="00C94252" w:rsidRDefault="00A33443">
            <w:pPr>
              <w:pStyle w:val="TableParagraph"/>
              <w:spacing w:before="211"/>
              <w:ind w:left="14"/>
              <w:jc w:val="center"/>
              <w:rPr>
                <w:sz w:val="24"/>
              </w:rPr>
            </w:pPr>
            <w:r>
              <w:rPr>
                <w:sz w:val="24"/>
              </w:rPr>
              <w:t>4</w:t>
            </w:r>
          </w:p>
        </w:tc>
        <w:tc>
          <w:tcPr>
            <w:tcW w:w="2198" w:type="dxa"/>
            <w:tcBorders>
              <w:top w:val="single" w:sz="6" w:space="0" w:color="000000"/>
              <w:bottom w:val="nil"/>
            </w:tcBorders>
          </w:tcPr>
          <w:p w:rsidR="00C94252" w:rsidRDefault="00A33443">
            <w:pPr>
              <w:pStyle w:val="TableParagraph"/>
              <w:spacing w:before="74"/>
              <w:ind w:left="81" w:right="440"/>
              <w:rPr>
                <w:sz w:val="24"/>
              </w:rPr>
            </w:pPr>
            <w:r>
              <w:rPr>
                <w:sz w:val="24"/>
              </w:rPr>
              <w:t>Local/regional NGOs</w:t>
            </w:r>
          </w:p>
        </w:tc>
        <w:tc>
          <w:tcPr>
            <w:tcW w:w="1258" w:type="dxa"/>
            <w:tcBorders>
              <w:top w:val="single" w:sz="6" w:space="0" w:color="000000"/>
              <w:bottom w:val="nil"/>
            </w:tcBorders>
          </w:tcPr>
          <w:p w:rsidR="00C94252" w:rsidRDefault="00A33443">
            <w:pPr>
              <w:pStyle w:val="TableParagraph"/>
              <w:spacing w:before="211"/>
              <w:ind w:right="69"/>
              <w:jc w:val="right"/>
              <w:rPr>
                <w:sz w:val="24"/>
              </w:rPr>
            </w:pPr>
            <w:r>
              <w:rPr>
                <w:sz w:val="24"/>
              </w:rPr>
              <w:t>2,62</w:t>
            </w:r>
          </w:p>
        </w:tc>
        <w:tc>
          <w:tcPr>
            <w:tcW w:w="1149" w:type="dxa"/>
            <w:tcBorders>
              <w:top w:val="single" w:sz="6" w:space="0" w:color="000000"/>
              <w:bottom w:val="nil"/>
            </w:tcBorders>
          </w:tcPr>
          <w:p w:rsidR="00C94252" w:rsidRDefault="00A33443">
            <w:pPr>
              <w:pStyle w:val="TableParagraph"/>
              <w:spacing w:before="211"/>
              <w:ind w:right="63"/>
              <w:jc w:val="right"/>
              <w:rPr>
                <w:sz w:val="24"/>
              </w:rPr>
            </w:pPr>
            <w:r>
              <w:rPr>
                <w:sz w:val="24"/>
              </w:rPr>
              <w:t>3,60</w:t>
            </w:r>
          </w:p>
        </w:tc>
        <w:tc>
          <w:tcPr>
            <w:tcW w:w="1207" w:type="dxa"/>
            <w:tcBorders>
              <w:top w:val="single" w:sz="6" w:space="0" w:color="000000"/>
              <w:bottom w:val="nil"/>
            </w:tcBorders>
          </w:tcPr>
          <w:p w:rsidR="00C94252" w:rsidRDefault="00A33443">
            <w:pPr>
              <w:pStyle w:val="TableParagraph"/>
              <w:spacing w:before="211"/>
              <w:ind w:right="67"/>
              <w:jc w:val="right"/>
              <w:rPr>
                <w:sz w:val="24"/>
              </w:rPr>
            </w:pPr>
            <w:r>
              <w:rPr>
                <w:sz w:val="24"/>
              </w:rPr>
              <w:t>3,00</w:t>
            </w:r>
          </w:p>
        </w:tc>
        <w:tc>
          <w:tcPr>
            <w:tcW w:w="1419" w:type="dxa"/>
            <w:tcBorders>
              <w:top w:val="single" w:sz="6" w:space="0" w:color="000000"/>
              <w:bottom w:val="nil"/>
            </w:tcBorders>
          </w:tcPr>
          <w:p w:rsidR="00C94252" w:rsidRDefault="00A33443">
            <w:pPr>
              <w:pStyle w:val="TableParagraph"/>
              <w:spacing w:before="211"/>
              <w:ind w:right="66"/>
              <w:jc w:val="right"/>
              <w:rPr>
                <w:sz w:val="24"/>
              </w:rPr>
            </w:pPr>
            <w:r>
              <w:rPr>
                <w:sz w:val="24"/>
              </w:rPr>
              <w:t>3,00</w:t>
            </w:r>
          </w:p>
        </w:tc>
        <w:tc>
          <w:tcPr>
            <w:tcW w:w="1205" w:type="dxa"/>
            <w:tcBorders>
              <w:top w:val="single" w:sz="6" w:space="0" w:color="000000"/>
              <w:bottom w:val="nil"/>
            </w:tcBorders>
          </w:tcPr>
          <w:p w:rsidR="00C94252" w:rsidRDefault="00A33443">
            <w:pPr>
              <w:pStyle w:val="TableParagraph"/>
              <w:spacing w:before="211"/>
              <w:ind w:right="66"/>
              <w:jc w:val="right"/>
              <w:rPr>
                <w:sz w:val="24"/>
              </w:rPr>
            </w:pPr>
            <w:r>
              <w:rPr>
                <w:sz w:val="24"/>
              </w:rPr>
              <w:t>3,14</w:t>
            </w:r>
          </w:p>
        </w:tc>
        <w:tc>
          <w:tcPr>
            <w:tcW w:w="1147" w:type="dxa"/>
            <w:tcBorders>
              <w:top w:val="single" w:sz="6" w:space="0" w:color="000000"/>
              <w:bottom w:val="nil"/>
            </w:tcBorders>
          </w:tcPr>
          <w:p w:rsidR="00C94252" w:rsidRDefault="00A33443">
            <w:pPr>
              <w:pStyle w:val="TableParagraph"/>
              <w:spacing w:before="211"/>
              <w:ind w:right="63"/>
              <w:jc w:val="right"/>
              <w:rPr>
                <w:sz w:val="24"/>
              </w:rPr>
            </w:pPr>
            <w:r>
              <w:rPr>
                <w:sz w:val="24"/>
              </w:rPr>
              <w:t>2,91</w:t>
            </w:r>
          </w:p>
        </w:tc>
        <w:tc>
          <w:tcPr>
            <w:tcW w:w="1190" w:type="dxa"/>
            <w:tcBorders>
              <w:top w:val="single" w:sz="6" w:space="0" w:color="000000"/>
              <w:bottom w:val="nil"/>
            </w:tcBorders>
          </w:tcPr>
          <w:p w:rsidR="00C94252" w:rsidRDefault="00A33443">
            <w:pPr>
              <w:pStyle w:val="TableParagraph"/>
              <w:spacing w:before="211"/>
              <w:ind w:right="65"/>
              <w:jc w:val="right"/>
              <w:rPr>
                <w:sz w:val="24"/>
              </w:rPr>
            </w:pPr>
            <w:r>
              <w:rPr>
                <w:sz w:val="24"/>
              </w:rPr>
              <w:t>2,67</w:t>
            </w:r>
          </w:p>
        </w:tc>
        <w:tc>
          <w:tcPr>
            <w:tcW w:w="1419" w:type="dxa"/>
            <w:tcBorders>
              <w:top w:val="single" w:sz="6" w:space="0" w:color="000000"/>
              <w:bottom w:val="nil"/>
            </w:tcBorders>
          </w:tcPr>
          <w:p w:rsidR="00C94252" w:rsidRDefault="00A33443">
            <w:pPr>
              <w:pStyle w:val="TableParagraph"/>
              <w:spacing w:before="211"/>
              <w:ind w:right="65"/>
              <w:jc w:val="right"/>
              <w:rPr>
                <w:sz w:val="24"/>
              </w:rPr>
            </w:pPr>
            <w:r>
              <w:rPr>
                <w:sz w:val="24"/>
              </w:rPr>
              <w:t>2,86</w:t>
            </w:r>
          </w:p>
        </w:tc>
        <w:tc>
          <w:tcPr>
            <w:tcW w:w="1121" w:type="dxa"/>
            <w:tcBorders>
              <w:top w:val="single" w:sz="6" w:space="0" w:color="000000"/>
              <w:bottom w:val="nil"/>
            </w:tcBorders>
          </w:tcPr>
          <w:p w:rsidR="00C94252" w:rsidRDefault="00A33443">
            <w:pPr>
              <w:pStyle w:val="TableParagraph"/>
              <w:spacing w:before="211"/>
              <w:ind w:right="63"/>
              <w:jc w:val="right"/>
              <w:rPr>
                <w:sz w:val="24"/>
              </w:rPr>
            </w:pPr>
            <w:r>
              <w:rPr>
                <w:sz w:val="24"/>
              </w:rPr>
              <w:t>0,306</w:t>
            </w:r>
          </w:p>
        </w:tc>
      </w:tr>
      <w:tr w:rsidR="00C94252">
        <w:trPr>
          <w:trHeight w:val="671"/>
        </w:trPr>
        <w:tc>
          <w:tcPr>
            <w:tcW w:w="562" w:type="dxa"/>
            <w:tcBorders>
              <w:top w:val="nil"/>
              <w:bottom w:val="nil"/>
            </w:tcBorders>
          </w:tcPr>
          <w:p w:rsidR="00C94252" w:rsidRDefault="00A33443">
            <w:pPr>
              <w:pStyle w:val="TableParagraph"/>
              <w:spacing w:before="192"/>
              <w:ind w:left="14"/>
              <w:jc w:val="center"/>
              <w:rPr>
                <w:sz w:val="24"/>
              </w:rPr>
            </w:pPr>
            <w:r>
              <w:rPr>
                <w:sz w:val="24"/>
              </w:rPr>
              <w:t>5</w:t>
            </w:r>
          </w:p>
        </w:tc>
        <w:tc>
          <w:tcPr>
            <w:tcW w:w="2198" w:type="dxa"/>
            <w:tcBorders>
              <w:top w:val="nil"/>
              <w:bottom w:val="nil"/>
            </w:tcBorders>
          </w:tcPr>
          <w:p w:rsidR="00C94252" w:rsidRDefault="00A33443">
            <w:pPr>
              <w:pStyle w:val="TableParagraph"/>
              <w:spacing w:before="192"/>
              <w:ind w:left="81"/>
              <w:rPr>
                <w:sz w:val="24"/>
              </w:rPr>
            </w:pPr>
            <w:r>
              <w:rPr>
                <w:sz w:val="24"/>
              </w:rPr>
              <w:t>Wider local public</w:t>
            </w:r>
          </w:p>
        </w:tc>
        <w:tc>
          <w:tcPr>
            <w:tcW w:w="1258" w:type="dxa"/>
            <w:tcBorders>
              <w:top w:val="nil"/>
              <w:bottom w:val="nil"/>
            </w:tcBorders>
          </w:tcPr>
          <w:p w:rsidR="00C94252" w:rsidRDefault="00A33443">
            <w:pPr>
              <w:pStyle w:val="TableParagraph"/>
              <w:spacing w:before="192"/>
              <w:ind w:right="69"/>
              <w:jc w:val="right"/>
              <w:rPr>
                <w:sz w:val="24"/>
              </w:rPr>
            </w:pPr>
            <w:r>
              <w:rPr>
                <w:sz w:val="24"/>
              </w:rPr>
              <w:t>2,54</w:t>
            </w:r>
          </w:p>
        </w:tc>
        <w:tc>
          <w:tcPr>
            <w:tcW w:w="1149" w:type="dxa"/>
            <w:tcBorders>
              <w:top w:val="nil"/>
              <w:bottom w:val="nil"/>
            </w:tcBorders>
          </w:tcPr>
          <w:p w:rsidR="00C94252" w:rsidRDefault="00A33443">
            <w:pPr>
              <w:pStyle w:val="TableParagraph"/>
              <w:spacing w:before="192"/>
              <w:ind w:right="63"/>
              <w:jc w:val="right"/>
              <w:rPr>
                <w:sz w:val="24"/>
              </w:rPr>
            </w:pPr>
            <w:r>
              <w:rPr>
                <w:sz w:val="24"/>
              </w:rPr>
              <w:t>3,33</w:t>
            </w:r>
          </w:p>
        </w:tc>
        <w:tc>
          <w:tcPr>
            <w:tcW w:w="1207" w:type="dxa"/>
            <w:tcBorders>
              <w:top w:val="nil"/>
              <w:bottom w:val="nil"/>
            </w:tcBorders>
          </w:tcPr>
          <w:p w:rsidR="00C94252" w:rsidRDefault="00A33443">
            <w:pPr>
              <w:pStyle w:val="TableParagraph"/>
              <w:spacing w:before="192"/>
              <w:ind w:right="67"/>
              <w:jc w:val="right"/>
              <w:rPr>
                <w:sz w:val="24"/>
              </w:rPr>
            </w:pPr>
            <w:r>
              <w:rPr>
                <w:sz w:val="24"/>
              </w:rPr>
              <w:t>2,89</w:t>
            </w:r>
          </w:p>
        </w:tc>
        <w:tc>
          <w:tcPr>
            <w:tcW w:w="1419" w:type="dxa"/>
            <w:tcBorders>
              <w:top w:val="nil"/>
              <w:bottom w:val="nil"/>
            </w:tcBorders>
          </w:tcPr>
          <w:p w:rsidR="00C94252" w:rsidRDefault="00A33443">
            <w:pPr>
              <w:pStyle w:val="TableParagraph"/>
              <w:spacing w:before="192"/>
              <w:ind w:right="66"/>
              <w:jc w:val="right"/>
              <w:rPr>
                <w:sz w:val="24"/>
              </w:rPr>
            </w:pPr>
            <w:r>
              <w:rPr>
                <w:sz w:val="24"/>
              </w:rPr>
              <w:t>2,60</w:t>
            </w:r>
          </w:p>
        </w:tc>
        <w:tc>
          <w:tcPr>
            <w:tcW w:w="1205" w:type="dxa"/>
            <w:tcBorders>
              <w:top w:val="nil"/>
              <w:bottom w:val="nil"/>
            </w:tcBorders>
          </w:tcPr>
          <w:p w:rsidR="00C94252" w:rsidRDefault="00A33443">
            <w:pPr>
              <w:pStyle w:val="TableParagraph"/>
              <w:spacing w:before="192"/>
              <w:ind w:right="66"/>
              <w:jc w:val="right"/>
              <w:rPr>
                <w:sz w:val="24"/>
              </w:rPr>
            </w:pPr>
            <w:r>
              <w:rPr>
                <w:sz w:val="24"/>
              </w:rPr>
              <w:t>2,57</w:t>
            </w:r>
          </w:p>
        </w:tc>
        <w:tc>
          <w:tcPr>
            <w:tcW w:w="1147" w:type="dxa"/>
            <w:tcBorders>
              <w:top w:val="nil"/>
              <w:bottom w:val="nil"/>
            </w:tcBorders>
          </w:tcPr>
          <w:p w:rsidR="00C94252" w:rsidRDefault="00A33443">
            <w:pPr>
              <w:pStyle w:val="TableParagraph"/>
              <w:spacing w:before="192"/>
              <w:ind w:right="63"/>
              <w:jc w:val="right"/>
              <w:rPr>
                <w:sz w:val="24"/>
              </w:rPr>
            </w:pPr>
            <w:r>
              <w:rPr>
                <w:sz w:val="24"/>
              </w:rPr>
              <w:t>2,00</w:t>
            </w:r>
          </w:p>
        </w:tc>
        <w:tc>
          <w:tcPr>
            <w:tcW w:w="1190" w:type="dxa"/>
            <w:tcBorders>
              <w:top w:val="nil"/>
              <w:bottom w:val="nil"/>
            </w:tcBorders>
          </w:tcPr>
          <w:p w:rsidR="00C94252" w:rsidRDefault="00A33443">
            <w:pPr>
              <w:pStyle w:val="TableParagraph"/>
              <w:spacing w:before="192"/>
              <w:ind w:right="65"/>
              <w:jc w:val="right"/>
              <w:rPr>
                <w:sz w:val="24"/>
              </w:rPr>
            </w:pPr>
            <w:r>
              <w:rPr>
                <w:sz w:val="24"/>
              </w:rPr>
              <w:t>2,33</w:t>
            </w:r>
          </w:p>
        </w:tc>
        <w:tc>
          <w:tcPr>
            <w:tcW w:w="1419" w:type="dxa"/>
            <w:tcBorders>
              <w:top w:val="nil"/>
              <w:bottom w:val="nil"/>
            </w:tcBorders>
          </w:tcPr>
          <w:p w:rsidR="00C94252" w:rsidRDefault="00A33443">
            <w:pPr>
              <w:pStyle w:val="TableParagraph"/>
              <w:spacing w:before="192"/>
              <w:ind w:right="65"/>
              <w:jc w:val="right"/>
              <w:rPr>
                <w:sz w:val="24"/>
              </w:rPr>
            </w:pPr>
            <w:r>
              <w:rPr>
                <w:sz w:val="24"/>
              </w:rPr>
              <w:t>2,29</w:t>
            </w:r>
          </w:p>
        </w:tc>
        <w:tc>
          <w:tcPr>
            <w:tcW w:w="1121" w:type="dxa"/>
            <w:tcBorders>
              <w:top w:val="nil"/>
              <w:bottom w:val="nil"/>
            </w:tcBorders>
          </w:tcPr>
          <w:p w:rsidR="00C94252" w:rsidRDefault="00A33443">
            <w:pPr>
              <w:pStyle w:val="TableParagraph"/>
              <w:spacing w:before="192"/>
              <w:ind w:right="63"/>
              <w:jc w:val="right"/>
              <w:rPr>
                <w:sz w:val="24"/>
              </w:rPr>
            </w:pPr>
            <w:r>
              <w:rPr>
                <w:sz w:val="24"/>
              </w:rPr>
              <w:t>0,121</w:t>
            </w:r>
          </w:p>
        </w:tc>
      </w:tr>
    </w:tbl>
    <w:p w:rsidR="00C94252" w:rsidRDefault="00C94252">
      <w:pPr>
        <w:jc w:val="right"/>
        <w:rPr>
          <w:sz w:val="24"/>
        </w:rPr>
        <w:sectPr w:rsidR="00C94252">
          <w:footerReference w:type="default" r:id="rId24"/>
          <w:pgSz w:w="16850" w:h="11900" w:orient="landscape"/>
          <w:pgMar w:top="1100" w:right="1300" w:bottom="940" w:left="1300" w:header="0" w:footer="751" w:gutter="0"/>
          <w:cols w:space="708"/>
        </w:sectPr>
      </w:pPr>
    </w:p>
    <w:p w:rsidR="00C94252" w:rsidRDefault="00C94252">
      <w:pPr>
        <w:pStyle w:val="Brdtekst"/>
        <w:spacing w:before="10"/>
        <w:rPr>
          <w:sz w:val="20"/>
        </w:rPr>
      </w:pPr>
    </w:p>
    <w:p w:rsidR="00C94252" w:rsidRDefault="00A33443">
      <w:pPr>
        <w:pStyle w:val="Overskrift2"/>
        <w:numPr>
          <w:ilvl w:val="3"/>
          <w:numId w:val="3"/>
        </w:numPr>
        <w:tabs>
          <w:tab w:val="left" w:pos="838"/>
        </w:tabs>
        <w:spacing w:before="90"/>
      </w:pPr>
      <w:r>
        <w:t>Contextual aspects</w:t>
      </w:r>
    </w:p>
    <w:p w:rsidR="00C94252" w:rsidRDefault="00A33443">
      <w:pPr>
        <w:spacing w:before="116"/>
        <w:ind w:left="116" w:right="110"/>
        <w:jc w:val="both"/>
        <w:rPr>
          <w:sz w:val="24"/>
        </w:rPr>
      </w:pPr>
      <w:r>
        <w:rPr>
          <w:sz w:val="24"/>
        </w:rPr>
        <w:t xml:space="preserve">We consider ‘barriers for WE production’ (in the questionnaire referring to community initiatives, </w:t>
      </w:r>
      <w:r>
        <w:rPr>
          <w:b/>
          <w:sz w:val="24"/>
        </w:rPr>
        <w:t xml:space="preserve">Appendix A: </w:t>
      </w:r>
      <w:r>
        <w:rPr>
          <w:sz w:val="24"/>
        </w:rPr>
        <w:t>Q16) as a proxy indicator for the socio-economic, political and cultural context of the regions. The results show that overall, the main deficits</w:t>
      </w:r>
      <w:r>
        <w:rPr>
          <w:sz w:val="24"/>
        </w:rPr>
        <w:t xml:space="preserve"> are found in the </w:t>
      </w:r>
      <w:r>
        <w:rPr>
          <w:i/>
          <w:sz w:val="24"/>
        </w:rPr>
        <w:t xml:space="preserve">lack of financial resources </w:t>
      </w:r>
      <w:r>
        <w:rPr>
          <w:sz w:val="24"/>
        </w:rPr>
        <w:t xml:space="preserve">and the </w:t>
      </w:r>
      <w:r>
        <w:rPr>
          <w:i/>
          <w:sz w:val="24"/>
        </w:rPr>
        <w:t>lack of national incentives</w:t>
      </w:r>
      <w:r>
        <w:rPr>
          <w:sz w:val="24"/>
        </w:rPr>
        <w:t>, i.e. the non-social factors (</w:t>
      </w:r>
      <w:r>
        <w:rPr>
          <w:b/>
          <w:sz w:val="24"/>
        </w:rPr>
        <w:t>Appendix B: Table B.4</w:t>
      </w:r>
      <w:r>
        <w:rPr>
          <w:sz w:val="24"/>
        </w:rPr>
        <w:t xml:space="preserve">). The main regional differences, however, concerned social context factors. The </w:t>
      </w:r>
      <w:r>
        <w:rPr>
          <w:i/>
          <w:sz w:val="24"/>
        </w:rPr>
        <w:t xml:space="preserve">large regions </w:t>
      </w:r>
      <w:r>
        <w:rPr>
          <w:sz w:val="24"/>
        </w:rPr>
        <w:t>differed significantly in ho</w:t>
      </w:r>
      <w:r>
        <w:rPr>
          <w:sz w:val="24"/>
        </w:rPr>
        <w:t xml:space="preserve">w the </w:t>
      </w:r>
      <w:r>
        <w:rPr>
          <w:i/>
          <w:sz w:val="24"/>
        </w:rPr>
        <w:t xml:space="preserve">lack of communication culture </w:t>
      </w:r>
      <w:r>
        <w:rPr>
          <w:sz w:val="24"/>
        </w:rPr>
        <w:t xml:space="preserve">and </w:t>
      </w:r>
      <w:r>
        <w:rPr>
          <w:i/>
          <w:sz w:val="24"/>
        </w:rPr>
        <w:t xml:space="preserve">lack of self-organization culture </w:t>
      </w:r>
      <w:r>
        <w:rPr>
          <w:sz w:val="24"/>
        </w:rPr>
        <w:t>were perceived (</w:t>
      </w:r>
      <w:r>
        <w:rPr>
          <w:b/>
          <w:sz w:val="24"/>
        </w:rPr>
        <w:t>Table B.4</w:t>
      </w:r>
      <w:r>
        <w:rPr>
          <w:sz w:val="24"/>
        </w:rPr>
        <w:t xml:space="preserve">). </w:t>
      </w:r>
      <w:r>
        <w:rPr>
          <w:i/>
          <w:sz w:val="24"/>
        </w:rPr>
        <w:t xml:space="preserve">Lack of communication culture </w:t>
      </w:r>
      <w:r>
        <w:rPr>
          <w:sz w:val="24"/>
        </w:rPr>
        <w:t>was assessed as significantly less problematic in Northern Europe than in Western Europe (post-hoc p=0.046) and in the CEE r</w:t>
      </w:r>
      <w:r>
        <w:rPr>
          <w:sz w:val="24"/>
        </w:rPr>
        <w:t xml:space="preserve">egion (post-hoc p=0.053). Regarding </w:t>
      </w:r>
      <w:r>
        <w:rPr>
          <w:i/>
          <w:sz w:val="24"/>
        </w:rPr>
        <w:t>lack of self- organization</w:t>
      </w:r>
      <w:r>
        <w:rPr>
          <w:sz w:val="24"/>
        </w:rPr>
        <w:t>,</w:t>
      </w:r>
      <w:r>
        <w:rPr>
          <w:spacing w:val="-6"/>
          <w:sz w:val="24"/>
        </w:rPr>
        <w:t xml:space="preserve"> </w:t>
      </w:r>
      <w:r>
        <w:rPr>
          <w:sz w:val="24"/>
        </w:rPr>
        <w:t>the</w:t>
      </w:r>
      <w:r>
        <w:rPr>
          <w:spacing w:val="-7"/>
          <w:sz w:val="24"/>
        </w:rPr>
        <w:t xml:space="preserve"> </w:t>
      </w:r>
      <w:r>
        <w:rPr>
          <w:sz w:val="24"/>
        </w:rPr>
        <w:t>North</w:t>
      </w:r>
      <w:r>
        <w:rPr>
          <w:spacing w:val="-6"/>
          <w:sz w:val="24"/>
        </w:rPr>
        <w:t xml:space="preserve"> </w:t>
      </w:r>
      <w:r>
        <w:rPr>
          <w:sz w:val="24"/>
        </w:rPr>
        <w:t>European</w:t>
      </w:r>
      <w:r>
        <w:rPr>
          <w:spacing w:val="-3"/>
          <w:sz w:val="24"/>
        </w:rPr>
        <w:t xml:space="preserve"> </w:t>
      </w:r>
      <w:r>
        <w:rPr>
          <w:sz w:val="24"/>
        </w:rPr>
        <w:t>region</w:t>
      </w:r>
      <w:r>
        <w:rPr>
          <w:spacing w:val="-6"/>
          <w:sz w:val="24"/>
        </w:rPr>
        <w:t xml:space="preserve"> </w:t>
      </w:r>
      <w:r>
        <w:rPr>
          <w:sz w:val="24"/>
        </w:rPr>
        <w:t>differed</w:t>
      </w:r>
      <w:r>
        <w:rPr>
          <w:spacing w:val="-3"/>
          <w:sz w:val="24"/>
        </w:rPr>
        <w:t xml:space="preserve"> </w:t>
      </w:r>
      <w:r>
        <w:rPr>
          <w:sz w:val="24"/>
        </w:rPr>
        <w:t>from</w:t>
      </w:r>
      <w:r>
        <w:rPr>
          <w:spacing w:val="-6"/>
          <w:sz w:val="24"/>
        </w:rPr>
        <w:t xml:space="preserve"> </w:t>
      </w:r>
      <w:r>
        <w:rPr>
          <w:sz w:val="24"/>
        </w:rPr>
        <w:t>the</w:t>
      </w:r>
      <w:r>
        <w:rPr>
          <w:spacing w:val="-7"/>
          <w:sz w:val="24"/>
        </w:rPr>
        <w:t xml:space="preserve"> </w:t>
      </w:r>
      <w:r>
        <w:rPr>
          <w:sz w:val="24"/>
        </w:rPr>
        <w:t>CEE</w:t>
      </w:r>
      <w:r>
        <w:rPr>
          <w:spacing w:val="-6"/>
          <w:sz w:val="24"/>
        </w:rPr>
        <w:t xml:space="preserve"> </w:t>
      </w:r>
      <w:r>
        <w:rPr>
          <w:sz w:val="24"/>
        </w:rPr>
        <w:t>region</w:t>
      </w:r>
      <w:r>
        <w:rPr>
          <w:spacing w:val="-6"/>
          <w:sz w:val="24"/>
        </w:rPr>
        <w:t xml:space="preserve"> </w:t>
      </w:r>
      <w:r>
        <w:rPr>
          <w:sz w:val="24"/>
        </w:rPr>
        <w:t>(post-hoc</w:t>
      </w:r>
      <w:r>
        <w:rPr>
          <w:spacing w:val="-6"/>
          <w:sz w:val="24"/>
        </w:rPr>
        <w:t xml:space="preserve"> </w:t>
      </w:r>
      <w:r>
        <w:rPr>
          <w:sz w:val="24"/>
        </w:rPr>
        <w:t>p=0.031):</w:t>
      </w:r>
      <w:r>
        <w:rPr>
          <w:spacing w:val="-6"/>
          <w:sz w:val="24"/>
        </w:rPr>
        <w:t xml:space="preserve"> </w:t>
      </w:r>
      <w:r>
        <w:rPr>
          <w:sz w:val="24"/>
        </w:rPr>
        <w:t>the lack of self-organization was perceived to be more problematic in the CEE region than in Northern</w:t>
      </w:r>
      <w:r>
        <w:rPr>
          <w:spacing w:val="-2"/>
          <w:sz w:val="24"/>
        </w:rPr>
        <w:t xml:space="preserve"> </w:t>
      </w:r>
      <w:r>
        <w:rPr>
          <w:sz w:val="24"/>
        </w:rPr>
        <w:t>Europe.</w:t>
      </w:r>
    </w:p>
    <w:p w:rsidR="00C94252" w:rsidRDefault="00A33443">
      <w:pPr>
        <w:pStyle w:val="Brdtekst"/>
        <w:rPr>
          <w:sz w:val="11"/>
        </w:rPr>
      </w:pPr>
      <w:r>
        <w:rPr>
          <w:noProof/>
          <w:lang w:val="nb-NO" w:eastAsia="nb-NO"/>
        </w:rPr>
        <w:drawing>
          <wp:anchor distT="0" distB="0" distL="0" distR="0" simplePos="0" relativeHeight="2" behindDoc="0" locked="0" layoutInCell="1" allowOverlap="1">
            <wp:simplePos x="0" y="0"/>
            <wp:positionH relativeFrom="page">
              <wp:posOffset>966296</wp:posOffset>
            </wp:positionH>
            <wp:positionV relativeFrom="paragraph">
              <wp:posOffset>105615</wp:posOffset>
            </wp:positionV>
            <wp:extent cx="5736773" cy="437959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5736773" cy="4379595"/>
                    </a:xfrm>
                    <a:prstGeom prst="rect">
                      <a:avLst/>
                    </a:prstGeom>
                  </pic:spPr>
                </pic:pic>
              </a:graphicData>
            </a:graphic>
          </wp:anchor>
        </w:drawing>
      </w:r>
    </w:p>
    <w:p w:rsidR="00C94252" w:rsidRDefault="00A33443">
      <w:pPr>
        <w:spacing w:before="71"/>
        <w:ind w:left="116" w:right="114"/>
        <w:jc w:val="both"/>
        <w:rPr>
          <w:sz w:val="24"/>
        </w:rPr>
      </w:pPr>
      <w:r>
        <w:rPr>
          <w:b/>
          <w:sz w:val="24"/>
        </w:rPr>
        <w:t>Figure 4</w:t>
      </w:r>
      <w:r>
        <w:rPr>
          <w:sz w:val="24"/>
        </w:rPr>
        <w:t xml:space="preserve">. Ranking of the perceived importance of contextual aspects in WE planning: some regional differences. Details in </w:t>
      </w:r>
      <w:r>
        <w:rPr>
          <w:b/>
          <w:sz w:val="24"/>
        </w:rPr>
        <w:t>Appendix B: Table B.4</w:t>
      </w:r>
      <w:r>
        <w:rPr>
          <w:sz w:val="24"/>
        </w:rPr>
        <w:t>.</w:t>
      </w:r>
    </w:p>
    <w:p w:rsidR="00C94252" w:rsidRDefault="00C94252">
      <w:pPr>
        <w:pStyle w:val="Brdtekst"/>
        <w:rPr>
          <w:sz w:val="26"/>
        </w:rPr>
      </w:pPr>
    </w:p>
    <w:p w:rsidR="00C94252" w:rsidRDefault="00C94252">
      <w:pPr>
        <w:pStyle w:val="Brdtekst"/>
        <w:spacing w:before="8"/>
        <w:rPr>
          <w:sz w:val="25"/>
        </w:rPr>
      </w:pPr>
    </w:p>
    <w:p w:rsidR="00C94252" w:rsidRDefault="00A33443">
      <w:pPr>
        <w:pStyle w:val="Brdtekst"/>
        <w:spacing w:before="1"/>
        <w:ind w:left="116" w:right="112"/>
        <w:jc w:val="both"/>
      </w:pPr>
      <w:r>
        <w:t>Among</w:t>
      </w:r>
      <w:r>
        <w:rPr>
          <w:spacing w:val="-16"/>
        </w:rPr>
        <w:t xml:space="preserve"> </w:t>
      </w:r>
      <w:r>
        <w:t>the</w:t>
      </w:r>
      <w:r>
        <w:rPr>
          <w:spacing w:val="-14"/>
        </w:rPr>
        <w:t xml:space="preserve"> </w:t>
      </w:r>
      <w:r>
        <w:rPr>
          <w:i/>
        </w:rPr>
        <w:t>sub-regions</w:t>
      </w:r>
      <w:r>
        <w:t>,</w:t>
      </w:r>
      <w:r>
        <w:rPr>
          <w:spacing w:val="-13"/>
        </w:rPr>
        <w:t xml:space="preserve"> </w:t>
      </w:r>
      <w:r>
        <w:t>differences</w:t>
      </w:r>
      <w:r>
        <w:rPr>
          <w:spacing w:val="-12"/>
        </w:rPr>
        <w:t xml:space="preserve"> </w:t>
      </w:r>
      <w:r>
        <w:t>were</w:t>
      </w:r>
      <w:r>
        <w:rPr>
          <w:spacing w:val="-15"/>
        </w:rPr>
        <w:t xml:space="preserve"> </w:t>
      </w:r>
      <w:r>
        <w:t>slightly</w:t>
      </w:r>
      <w:r>
        <w:rPr>
          <w:spacing w:val="-18"/>
        </w:rPr>
        <w:t xml:space="preserve"> </w:t>
      </w:r>
      <w:r>
        <w:t>more</w:t>
      </w:r>
      <w:r>
        <w:rPr>
          <w:spacing w:val="-14"/>
        </w:rPr>
        <w:t xml:space="preserve"> </w:t>
      </w:r>
      <w:r>
        <w:t>pronounced</w:t>
      </w:r>
      <w:r>
        <w:rPr>
          <w:spacing w:val="-13"/>
        </w:rPr>
        <w:t xml:space="preserve"> </w:t>
      </w:r>
      <w:r>
        <w:t>regarding</w:t>
      </w:r>
      <w:r>
        <w:rPr>
          <w:spacing w:val="-15"/>
        </w:rPr>
        <w:t xml:space="preserve"> </w:t>
      </w:r>
      <w:r>
        <w:rPr>
          <w:i/>
        </w:rPr>
        <w:t xml:space="preserve">self-organization </w:t>
      </w:r>
      <w:r>
        <w:t xml:space="preserve">(p=0.015). </w:t>
      </w:r>
      <w:r>
        <w:rPr>
          <w:i/>
        </w:rPr>
        <w:t xml:space="preserve">Lack </w:t>
      </w:r>
      <w:r>
        <w:rPr>
          <w:i/>
        </w:rPr>
        <w:t xml:space="preserve">of self-organization </w:t>
      </w:r>
      <w:r>
        <w:t>is perceived as less problematic in Northern Europe (DK, NO, SE, FI, IS) than in the CEE-East-Central sub-region (CZ, SK, HU, RO) (post-hoc p=0.010).</w:t>
      </w:r>
      <w:r>
        <w:rPr>
          <w:spacing w:val="-11"/>
        </w:rPr>
        <w:t xml:space="preserve"> </w:t>
      </w:r>
      <w:r>
        <w:t>In</w:t>
      </w:r>
      <w:r>
        <w:rPr>
          <w:spacing w:val="-11"/>
        </w:rPr>
        <w:t xml:space="preserve"> </w:t>
      </w:r>
      <w:r>
        <w:t>addition,</w:t>
      </w:r>
      <w:r>
        <w:rPr>
          <w:spacing w:val="-13"/>
        </w:rPr>
        <w:t xml:space="preserve"> </w:t>
      </w:r>
      <w:r>
        <w:t>the</w:t>
      </w:r>
      <w:r>
        <w:rPr>
          <w:spacing w:val="-11"/>
        </w:rPr>
        <w:t xml:space="preserve"> </w:t>
      </w:r>
      <w:r>
        <w:t>relevance</w:t>
      </w:r>
      <w:r>
        <w:rPr>
          <w:spacing w:val="-12"/>
        </w:rPr>
        <w:t xml:space="preserve"> </w:t>
      </w:r>
      <w:r>
        <w:t>of</w:t>
      </w:r>
      <w:r>
        <w:rPr>
          <w:spacing w:val="-12"/>
        </w:rPr>
        <w:t xml:space="preserve"> </w:t>
      </w:r>
      <w:r>
        <w:t>the</w:t>
      </w:r>
      <w:r>
        <w:rPr>
          <w:spacing w:val="-14"/>
        </w:rPr>
        <w:t xml:space="preserve"> </w:t>
      </w:r>
      <w:r>
        <w:t>variable</w:t>
      </w:r>
      <w:r>
        <w:rPr>
          <w:spacing w:val="-9"/>
        </w:rPr>
        <w:t xml:space="preserve"> </w:t>
      </w:r>
      <w:r>
        <w:t>of</w:t>
      </w:r>
      <w:r>
        <w:rPr>
          <w:spacing w:val="-14"/>
        </w:rPr>
        <w:t xml:space="preserve"> </w:t>
      </w:r>
      <w:r>
        <w:rPr>
          <w:i/>
        </w:rPr>
        <w:t>lack</w:t>
      </w:r>
      <w:r>
        <w:rPr>
          <w:i/>
          <w:spacing w:val="-12"/>
        </w:rPr>
        <w:t xml:space="preserve"> </w:t>
      </w:r>
      <w:r>
        <w:rPr>
          <w:i/>
        </w:rPr>
        <w:t>of</w:t>
      </w:r>
      <w:r>
        <w:rPr>
          <w:i/>
          <w:spacing w:val="-13"/>
        </w:rPr>
        <w:t xml:space="preserve"> </w:t>
      </w:r>
      <w:r>
        <w:rPr>
          <w:i/>
        </w:rPr>
        <w:t>financial</w:t>
      </w:r>
      <w:r>
        <w:rPr>
          <w:i/>
          <w:spacing w:val="-12"/>
        </w:rPr>
        <w:t xml:space="preserve"> </w:t>
      </w:r>
      <w:r>
        <w:rPr>
          <w:i/>
        </w:rPr>
        <w:t>resources</w:t>
      </w:r>
      <w:r>
        <w:rPr>
          <w:i/>
          <w:spacing w:val="-12"/>
        </w:rPr>
        <w:t xml:space="preserve"> </w:t>
      </w:r>
      <w:r>
        <w:t>was</w:t>
      </w:r>
      <w:r>
        <w:rPr>
          <w:spacing w:val="-12"/>
        </w:rPr>
        <w:t xml:space="preserve"> </w:t>
      </w:r>
      <w:r>
        <w:t>somewhat significantly differently assessed (p=0.070): the Western European Bene(lux) sub-region</w:t>
      </w:r>
      <w:r>
        <w:rPr>
          <w:spacing w:val="5"/>
        </w:rPr>
        <w:t xml:space="preserve"> </w:t>
      </w:r>
      <w:r>
        <w:t>(NL,</w:t>
      </w:r>
    </w:p>
    <w:p w:rsidR="00C94252" w:rsidRDefault="00C94252">
      <w:pPr>
        <w:jc w:val="both"/>
        <w:sectPr w:rsidR="00C94252">
          <w:footerReference w:type="default" r:id="rId26"/>
          <w:pgSz w:w="11900" w:h="16850"/>
          <w:pgMar w:top="1600" w:right="1300" w:bottom="940" w:left="1300" w:header="0" w:footer="751" w:gutter="0"/>
          <w:pgNumType w:start="17"/>
          <w:cols w:space="708"/>
        </w:sectPr>
      </w:pPr>
    </w:p>
    <w:p w:rsidR="00C94252" w:rsidRDefault="00A33443">
      <w:pPr>
        <w:pStyle w:val="Brdtekst"/>
        <w:spacing w:before="69"/>
        <w:ind w:left="116" w:right="113"/>
        <w:jc w:val="both"/>
      </w:pPr>
      <w:r>
        <w:t>BE)</w:t>
      </w:r>
      <w:r>
        <w:rPr>
          <w:spacing w:val="-5"/>
        </w:rPr>
        <w:t xml:space="preserve"> </w:t>
      </w:r>
      <w:r>
        <w:t>perceived</w:t>
      </w:r>
      <w:r>
        <w:rPr>
          <w:spacing w:val="-4"/>
        </w:rPr>
        <w:t xml:space="preserve"> </w:t>
      </w:r>
      <w:r>
        <w:t>this</w:t>
      </w:r>
      <w:r>
        <w:rPr>
          <w:spacing w:val="-3"/>
        </w:rPr>
        <w:t xml:space="preserve"> </w:t>
      </w:r>
      <w:r>
        <w:t>aspect</w:t>
      </w:r>
      <w:r>
        <w:rPr>
          <w:spacing w:val="-2"/>
        </w:rPr>
        <w:t xml:space="preserve"> </w:t>
      </w:r>
      <w:r>
        <w:t>to</w:t>
      </w:r>
      <w:r>
        <w:rPr>
          <w:spacing w:val="-4"/>
        </w:rPr>
        <w:t xml:space="preserve"> </w:t>
      </w:r>
      <w:r>
        <w:t>be</w:t>
      </w:r>
      <w:r>
        <w:rPr>
          <w:spacing w:val="-5"/>
        </w:rPr>
        <w:t xml:space="preserve"> </w:t>
      </w:r>
      <w:r>
        <w:t>less</w:t>
      </w:r>
      <w:r>
        <w:rPr>
          <w:spacing w:val="-4"/>
        </w:rPr>
        <w:t xml:space="preserve"> </w:t>
      </w:r>
      <w:r>
        <w:t>problematic</w:t>
      </w:r>
      <w:r>
        <w:rPr>
          <w:spacing w:val="-3"/>
        </w:rPr>
        <w:t xml:space="preserve"> </w:t>
      </w:r>
      <w:r>
        <w:t>than</w:t>
      </w:r>
      <w:r>
        <w:rPr>
          <w:spacing w:val="-3"/>
        </w:rPr>
        <w:t xml:space="preserve"> </w:t>
      </w:r>
      <w:r>
        <w:t>the</w:t>
      </w:r>
      <w:r>
        <w:rPr>
          <w:spacing w:val="-4"/>
        </w:rPr>
        <w:t xml:space="preserve"> </w:t>
      </w:r>
      <w:r>
        <w:t>CEE-East-Central (CZ,</w:t>
      </w:r>
      <w:r>
        <w:rPr>
          <w:spacing w:val="-3"/>
        </w:rPr>
        <w:t xml:space="preserve"> </w:t>
      </w:r>
      <w:r>
        <w:t>SK,</w:t>
      </w:r>
      <w:r>
        <w:rPr>
          <w:spacing w:val="-4"/>
        </w:rPr>
        <w:t xml:space="preserve"> </w:t>
      </w:r>
      <w:r>
        <w:t>HU,</w:t>
      </w:r>
      <w:r>
        <w:rPr>
          <w:spacing w:val="-4"/>
        </w:rPr>
        <w:t xml:space="preserve"> </w:t>
      </w:r>
      <w:r>
        <w:t>RO) sub-region (post-hoc</w:t>
      </w:r>
      <w:r>
        <w:rPr>
          <w:spacing w:val="-2"/>
        </w:rPr>
        <w:t xml:space="preserve"> </w:t>
      </w:r>
      <w:r>
        <w:t>p=0.036).</w:t>
      </w:r>
    </w:p>
    <w:p w:rsidR="00C94252" w:rsidRDefault="00C94252">
      <w:pPr>
        <w:pStyle w:val="Brdtekst"/>
        <w:rPr>
          <w:sz w:val="26"/>
        </w:rPr>
      </w:pPr>
    </w:p>
    <w:p w:rsidR="00C94252" w:rsidRDefault="00C94252">
      <w:pPr>
        <w:pStyle w:val="Brdtekst"/>
        <w:rPr>
          <w:sz w:val="26"/>
        </w:rPr>
      </w:pPr>
    </w:p>
    <w:p w:rsidR="00C94252" w:rsidRDefault="00A33443">
      <w:pPr>
        <w:pStyle w:val="Overskrift1"/>
        <w:spacing w:before="204"/>
      </w:pPr>
      <w:r>
        <w:t>4.4.Resistance reasons and planning: explaining resistance</w:t>
      </w:r>
    </w:p>
    <w:p w:rsidR="00C94252" w:rsidRDefault="00A33443">
      <w:pPr>
        <w:pStyle w:val="Brdtekst"/>
        <w:spacing w:before="116"/>
        <w:ind w:left="116" w:right="109"/>
        <w:jc w:val="both"/>
      </w:pPr>
      <w:r>
        <w:t>The performed regression analyses explored the relationships between resistance and certain planning variables. A summary of the results is presented here. A number of relevant reasons</w:t>
      </w:r>
      <w:r>
        <w:t xml:space="preserve"> for</w:t>
      </w:r>
      <w:r>
        <w:rPr>
          <w:spacing w:val="-9"/>
        </w:rPr>
        <w:t xml:space="preserve"> </w:t>
      </w:r>
      <w:r>
        <w:t>resistance</w:t>
      </w:r>
      <w:r>
        <w:rPr>
          <w:spacing w:val="-8"/>
        </w:rPr>
        <w:t xml:space="preserve"> </w:t>
      </w:r>
      <w:r>
        <w:t>of</w:t>
      </w:r>
      <w:r>
        <w:rPr>
          <w:spacing w:val="-8"/>
        </w:rPr>
        <w:t xml:space="preserve"> </w:t>
      </w:r>
      <w:r>
        <w:t>WE-projects</w:t>
      </w:r>
      <w:r>
        <w:rPr>
          <w:spacing w:val="-6"/>
        </w:rPr>
        <w:t xml:space="preserve"> </w:t>
      </w:r>
      <w:r>
        <w:t>appeared</w:t>
      </w:r>
      <w:r>
        <w:rPr>
          <w:spacing w:val="-7"/>
        </w:rPr>
        <w:t xml:space="preserve"> </w:t>
      </w:r>
      <w:r>
        <w:t>to</w:t>
      </w:r>
      <w:r>
        <w:rPr>
          <w:spacing w:val="-8"/>
        </w:rPr>
        <w:t xml:space="preserve"> </w:t>
      </w:r>
      <w:r>
        <w:t>be</w:t>
      </w:r>
      <w:r>
        <w:rPr>
          <w:spacing w:val="-9"/>
        </w:rPr>
        <w:t xml:space="preserve"> </w:t>
      </w:r>
      <w:r>
        <w:t>substantially</w:t>
      </w:r>
      <w:r>
        <w:rPr>
          <w:spacing w:val="-10"/>
        </w:rPr>
        <w:t xml:space="preserve"> </w:t>
      </w:r>
      <w:r>
        <w:t>influenced</w:t>
      </w:r>
      <w:r>
        <w:rPr>
          <w:spacing w:val="-7"/>
        </w:rPr>
        <w:t xml:space="preserve"> </w:t>
      </w:r>
      <w:r>
        <w:t>by</w:t>
      </w:r>
      <w:r>
        <w:rPr>
          <w:spacing w:val="-12"/>
        </w:rPr>
        <w:t xml:space="preserve"> </w:t>
      </w:r>
      <w:r>
        <w:t>the</w:t>
      </w:r>
      <w:r>
        <w:rPr>
          <w:spacing w:val="-6"/>
        </w:rPr>
        <w:t xml:space="preserve"> </w:t>
      </w:r>
      <w:r>
        <w:t>quality</w:t>
      </w:r>
      <w:r>
        <w:rPr>
          <w:spacing w:val="-11"/>
        </w:rPr>
        <w:t xml:space="preserve"> </w:t>
      </w:r>
      <w:r>
        <w:t>of</w:t>
      </w:r>
      <w:r>
        <w:rPr>
          <w:spacing w:val="-8"/>
        </w:rPr>
        <w:t xml:space="preserve"> </w:t>
      </w:r>
      <w:r>
        <w:t>planning and certain contextual</w:t>
      </w:r>
      <w:r>
        <w:rPr>
          <w:spacing w:val="-1"/>
        </w:rPr>
        <w:t xml:space="preserve"> </w:t>
      </w:r>
      <w:r>
        <w:t>variables.</w:t>
      </w:r>
    </w:p>
    <w:p w:rsidR="00C94252" w:rsidRDefault="00A33443">
      <w:pPr>
        <w:pStyle w:val="Brdtekst"/>
        <w:spacing w:before="169" w:line="230" w:lineRule="auto"/>
        <w:ind w:left="116" w:right="110"/>
        <w:jc w:val="both"/>
      </w:pPr>
      <w:r>
        <w:t>The linear regression analyses suggest that strategic and local level planning, and also contextual aspects might be important factors explaining the level of perceived encroachment into</w:t>
      </w:r>
      <w:r>
        <w:rPr>
          <w:spacing w:val="-13"/>
        </w:rPr>
        <w:t xml:space="preserve"> </w:t>
      </w:r>
      <w:r>
        <w:t>the</w:t>
      </w:r>
      <w:r>
        <w:rPr>
          <w:spacing w:val="-13"/>
        </w:rPr>
        <w:t xml:space="preserve"> </w:t>
      </w:r>
      <w:r>
        <w:rPr>
          <w:i/>
        </w:rPr>
        <w:t>landscape</w:t>
      </w:r>
      <w:r>
        <w:rPr>
          <w:i/>
          <w:spacing w:val="-14"/>
        </w:rPr>
        <w:t xml:space="preserve"> </w:t>
      </w:r>
      <w:r>
        <w:t>(adjusted</w:t>
      </w:r>
      <w:r>
        <w:rPr>
          <w:spacing w:val="-12"/>
        </w:rPr>
        <w:t xml:space="preserve"> </w:t>
      </w:r>
      <w:r>
        <w:t>r</w:t>
      </w:r>
      <w:r>
        <w:rPr>
          <w:position w:val="9"/>
          <w:sz w:val="16"/>
        </w:rPr>
        <w:t>2</w:t>
      </w:r>
      <w:r>
        <w:t>=0.52),</w:t>
      </w:r>
      <w:r>
        <w:rPr>
          <w:spacing w:val="-13"/>
        </w:rPr>
        <w:t xml:space="preserve"> </w:t>
      </w:r>
      <w:r>
        <w:t>social</w:t>
      </w:r>
      <w:r>
        <w:rPr>
          <w:spacing w:val="-10"/>
        </w:rPr>
        <w:t xml:space="preserve"> </w:t>
      </w:r>
      <w:r>
        <w:rPr>
          <w:i/>
        </w:rPr>
        <w:t>conflicts</w:t>
      </w:r>
      <w:r>
        <w:rPr>
          <w:i/>
          <w:spacing w:val="-12"/>
        </w:rPr>
        <w:t xml:space="preserve"> </w:t>
      </w:r>
      <w:r>
        <w:t>associated</w:t>
      </w:r>
      <w:r>
        <w:rPr>
          <w:spacing w:val="-13"/>
        </w:rPr>
        <w:t xml:space="preserve"> </w:t>
      </w:r>
      <w:r>
        <w:t>to</w:t>
      </w:r>
      <w:r>
        <w:rPr>
          <w:spacing w:val="-12"/>
        </w:rPr>
        <w:t xml:space="preserve"> </w:t>
      </w:r>
      <w:r>
        <w:t>WE</w:t>
      </w:r>
      <w:r>
        <w:rPr>
          <w:spacing w:val="-14"/>
        </w:rPr>
        <w:t xml:space="preserve"> </w:t>
      </w:r>
      <w:r>
        <w:t>(</w:t>
      </w:r>
      <w:r>
        <w:t>in</w:t>
      </w:r>
      <w:r>
        <w:rPr>
          <w:spacing w:val="-12"/>
        </w:rPr>
        <w:t xml:space="preserve"> </w:t>
      </w:r>
      <w:r>
        <w:t>terms</w:t>
      </w:r>
      <w:r>
        <w:rPr>
          <w:spacing w:val="-13"/>
        </w:rPr>
        <w:t xml:space="preserve"> </w:t>
      </w:r>
      <w:r>
        <w:t>of</w:t>
      </w:r>
      <w:r>
        <w:rPr>
          <w:spacing w:val="-13"/>
        </w:rPr>
        <w:t xml:space="preserve"> </w:t>
      </w:r>
      <w:r>
        <w:t>pre-existing conflicts in a community) (r</w:t>
      </w:r>
      <w:r>
        <w:rPr>
          <w:position w:val="9"/>
          <w:sz w:val="16"/>
        </w:rPr>
        <w:t>2</w:t>
      </w:r>
      <w:r>
        <w:t xml:space="preserve">=0.50), </w:t>
      </w:r>
      <w:r>
        <w:rPr>
          <w:i/>
        </w:rPr>
        <w:t xml:space="preserve">external influence </w:t>
      </w:r>
      <w:r>
        <w:t>(r</w:t>
      </w:r>
      <w:r>
        <w:rPr>
          <w:position w:val="9"/>
          <w:sz w:val="16"/>
        </w:rPr>
        <w:t>2</w:t>
      </w:r>
      <w:r>
        <w:t xml:space="preserve">=0.37) and inappropriate </w:t>
      </w:r>
      <w:r>
        <w:rPr>
          <w:i/>
        </w:rPr>
        <w:t xml:space="preserve">participation </w:t>
      </w:r>
      <w:r>
        <w:t>(lack of procedural justice) (r</w:t>
      </w:r>
      <w:r>
        <w:rPr>
          <w:position w:val="9"/>
          <w:sz w:val="16"/>
        </w:rPr>
        <w:t>2</w:t>
      </w:r>
      <w:r>
        <w:t>=0.36) (</w:t>
      </w:r>
      <w:r>
        <w:rPr>
          <w:b/>
        </w:rPr>
        <w:t>Table</w:t>
      </w:r>
      <w:r>
        <w:rPr>
          <w:b/>
          <w:spacing w:val="-2"/>
        </w:rPr>
        <w:t xml:space="preserve"> </w:t>
      </w:r>
      <w:r>
        <w:rPr>
          <w:b/>
        </w:rPr>
        <w:t>3</w:t>
      </w:r>
      <w:r>
        <w:t>).</w:t>
      </w:r>
    </w:p>
    <w:p w:rsidR="00C94252" w:rsidRDefault="00A33443">
      <w:pPr>
        <w:pStyle w:val="Brdtekst"/>
        <w:spacing w:before="160"/>
        <w:ind w:left="116" w:right="111"/>
        <w:jc w:val="both"/>
      </w:pPr>
      <w:r>
        <w:t xml:space="preserve">The most important explaining variables at strategic planning level seem to be the </w:t>
      </w:r>
      <w:r>
        <w:rPr>
          <w:i/>
        </w:rPr>
        <w:t xml:space="preserve">general strategic planning </w:t>
      </w:r>
      <w:r>
        <w:t xml:space="preserve">and </w:t>
      </w:r>
      <w:r>
        <w:rPr>
          <w:i/>
        </w:rPr>
        <w:t>communication quality</w:t>
      </w:r>
      <w:r>
        <w:t>. These were mostly negative influence factors: respondents</w:t>
      </w:r>
      <w:r>
        <w:rPr>
          <w:spacing w:val="-3"/>
        </w:rPr>
        <w:t xml:space="preserve"> </w:t>
      </w:r>
      <w:r>
        <w:t>who</w:t>
      </w:r>
      <w:r>
        <w:rPr>
          <w:spacing w:val="-3"/>
        </w:rPr>
        <w:t xml:space="preserve"> </w:t>
      </w:r>
      <w:r>
        <w:t>perceived</w:t>
      </w:r>
      <w:r>
        <w:rPr>
          <w:spacing w:val="-2"/>
        </w:rPr>
        <w:t xml:space="preserve"> </w:t>
      </w:r>
      <w:r>
        <w:t>strategic</w:t>
      </w:r>
      <w:r>
        <w:rPr>
          <w:spacing w:val="-3"/>
        </w:rPr>
        <w:t xml:space="preserve"> </w:t>
      </w:r>
      <w:r>
        <w:t>planning</w:t>
      </w:r>
      <w:r>
        <w:rPr>
          <w:spacing w:val="-6"/>
        </w:rPr>
        <w:t xml:space="preserve"> </w:t>
      </w:r>
      <w:r>
        <w:t>to</w:t>
      </w:r>
      <w:r>
        <w:rPr>
          <w:spacing w:val="-3"/>
        </w:rPr>
        <w:t xml:space="preserve"> </w:t>
      </w:r>
      <w:r>
        <w:t>be</w:t>
      </w:r>
      <w:r>
        <w:rPr>
          <w:spacing w:val="-4"/>
        </w:rPr>
        <w:t xml:space="preserve"> </w:t>
      </w:r>
      <w:r>
        <w:t>more</w:t>
      </w:r>
      <w:r>
        <w:rPr>
          <w:spacing w:val="-4"/>
        </w:rPr>
        <w:t xml:space="preserve"> </w:t>
      </w:r>
      <w:r>
        <w:t>regulated</w:t>
      </w:r>
      <w:r>
        <w:rPr>
          <w:spacing w:val="-3"/>
        </w:rPr>
        <w:t xml:space="preserve"> </w:t>
      </w:r>
      <w:r>
        <w:t>were</w:t>
      </w:r>
      <w:r>
        <w:rPr>
          <w:spacing w:val="-4"/>
        </w:rPr>
        <w:t xml:space="preserve"> </w:t>
      </w:r>
      <w:r>
        <w:t>less</w:t>
      </w:r>
      <w:r>
        <w:rPr>
          <w:spacing w:val="-2"/>
        </w:rPr>
        <w:t xml:space="preserve"> </w:t>
      </w:r>
      <w:r>
        <w:t>likely</w:t>
      </w:r>
      <w:r>
        <w:rPr>
          <w:spacing w:val="-7"/>
        </w:rPr>
        <w:t xml:space="preserve"> </w:t>
      </w:r>
      <w:r>
        <w:t>to</w:t>
      </w:r>
      <w:r>
        <w:rPr>
          <w:spacing w:val="-4"/>
        </w:rPr>
        <w:t xml:space="preserve"> </w:t>
      </w:r>
      <w:r>
        <w:t>perceive aspects related to social justice, environment or conflict to be problematic. At the local level, the</w:t>
      </w:r>
      <w:r>
        <w:rPr>
          <w:spacing w:val="-8"/>
        </w:rPr>
        <w:t xml:space="preserve"> </w:t>
      </w:r>
      <w:r>
        <w:t>influence</w:t>
      </w:r>
      <w:r>
        <w:rPr>
          <w:spacing w:val="-8"/>
        </w:rPr>
        <w:t xml:space="preserve"> </w:t>
      </w:r>
      <w:r>
        <w:t>of</w:t>
      </w:r>
      <w:r>
        <w:rPr>
          <w:spacing w:val="-8"/>
        </w:rPr>
        <w:t xml:space="preserve"> </w:t>
      </w:r>
      <w:r>
        <w:t>local</w:t>
      </w:r>
      <w:r>
        <w:rPr>
          <w:spacing w:val="-7"/>
        </w:rPr>
        <w:t xml:space="preserve"> </w:t>
      </w:r>
      <w:r>
        <w:t>actors</w:t>
      </w:r>
      <w:r>
        <w:rPr>
          <w:spacing w:val="-7"/>
        </w:rPr>
        <w:t xml:space="preserve"> </w:t>
      </w:r>
      <w:r>
        <w:t>was</w:t>
      </w:r>
      <w:r>
        <w:rPr>
          <w:spacing w:val="-7"/>
        </w:rPr>
        <w:t xml:space="preserve"> </w:t>
      </w:r>
      <w:r>
        <w:t>the</w:t>
      </w:r>
      <w:r>
        <w:rPr>
          <w:spacing w:val="-8"/>
        </w:rPr>
        <w:t xml:space="preserve"> </w:t>
      </w:r>
      <w:r>
        <w:t>most</w:t>
      </w:r>
      <w:r>
        <w:rPr>
          <w:spacing w:val="-5"/>
        </w:rPr>
        <w:t xml:space="preserve"> </w:t>
      </w:r>
      <w:r>
        <w:t>important</w:t>
      </w:r>
      <w:r>
        <w:rPr>
          <w:spacing w:val="-7"/>
        </w:rPr>
        <w:t xml:space="preserve"> </w:t>
      </w:r>
      <w:r>
        <w:t>explaining</w:t>
      </w:r>
      <w:r>
        <w:rPr>
          <w:spacing w:val="-9"/>
        </w:rPr>
        <w:t xml:space="preserve"> </w:t>
      </w:r>
      <w:r>
        <w:t>variable:</w:t>
      </w:r>
      <w:r>
        <w:rPr>
          <w:spacing w:val="-7"/>
        </w:rPr>
        <w:t xml:space="preserve"> </w:t>
      </w:r>
      <w:r>
        <w:t>the</w:t>
      </w:r>
      <w:r>
        <w:rPr>
          <w:spacing w:val="-8"/>
        </w:rPr>
        <w:t xml:space="preserve"> </w:t>
      </w:r>
      <w:r>
        <w:t>more</w:t>
      </w:r>
      <w:r>
        <w:rPr>
          <w:spacing w:val="-8"/>
        </w:rPr>
        <w:t xml:space="preserve"> </w:t>
      </w:r>
      <w:r>
        <w:t>influence</w:t>
      </w:r>
      <w:r>
        <w:rPr>
          <w:spacing w:val="-8"/>
        </w:rPr>
        <w:t xml:space="preserve"> </w:t>
      </w:r>
      <w:r>
        <w:t>the actors</w:t>
      </w:r>
      <w:r>
        <w:rPr>
          <w:spacing w:val="-17"/>
        </w:rPr>
        <w:t xml:space="preserve"> </w:t>
      </w:r>
      <w:r>
        <w:t>were</w:t>
      </w:r>
      <w:r>
        <w:rPr>
          <w:spacing w:val="-15"/>
        </w:rPr>
        <w:t xml:space="preserve"> </w:t>
      </w:r>
      <w:r>
        <w:t>perceived</w:t>
      </w:r>
      <w:r>
        <w:rPr>
          <w:spacing w:val="-14"/>
        </w:rPr>
        <w:t xml:space="preserve"> </w:t>
      </w:r>
      <w:r>
        <w:t>to</w:t>
      </w:r>
      <w:r>
        <w:rPr>
          <w:spacing w:val="-13"/>
        </w:rPr>
        <w:t xml:space="preserve"> </w:t>
      </w:r>
      <w:r>
        <w:t>have,</w:t>
      </w:r>
      <w:r>
        <w:rPr>
          <w:spacing w:val="-15"/>
        </w:rPr>
        <w:t xml:space="preserve"> </w:t>
      </w:r>
      <w:r>
        <w:t>the</w:t>
      </w:r>
      <w:r>
        <w:rPr>
          <w:spacing w:val="-14"/>
        </w:rPr>
        <w:t xml:space="preserve"> </w:t>
      </w:r>
      <w:r>
        <w:t>less</w:t>
      </w:r>
      <w:r>
        <w:rPr>
          <w:spacing w:val="-16"/>
        </w:rPr>
        <w:t xml:space="preserve"> </w:t>
      </w:r>
      <w:r>
        <w:t>social</w:t>
      </w:r>
      <w:r>
        <w:rPr>
          <w:spacing w:val="-13"/>
        </w:rPr>
        <w:t xml:space="preserve"> </w:t>
      </w:r>
      <w:r>
        <w:t>justi</w:t>
      </w:r>
      <w:r>
        <w:t>ce,</w:t>
      </w:r>
      <w:r>
        <w:rPr>
          <w:spacing w:val="-16"/>
        </w:rPr>
        <w:t xml:space="preserve"> </w:t>
      </w:r>
      <w:r>
        <w:t>participation</w:t>
      </w:r>
      <w:r>
        <w:rPr>
          <w:spacing w:val="-15"/>
        </w:rPr>
        <w:t xml:space="preserve"> </w:t>
      </w:r>
      <w:r>
        <w:t>and</w:t>
      </w:r>
      <w:r>
        <w:rPr>
          <w:spacing w:val="-13"/>
        </w:rPr>
        <w:t xml:space="preserve"> </w:t>
      </w:r>
      <w:r>
        <w:t>conflicts</w:t>
      </w:r>
      <w:r>
        <w:rPr>
          <w:spacing w:val="-15"/>
        </w:rPr>
        <w:t xml:space="preserve"> </w:t>
      </w:r>
      <w:r>
        <w:t>were</w:t>
      </w:r>
      <w:r>
        <w:rPr>
          <w:spacing w:val="-16"/>
        </w:rPr>
        <w:t xml:space="preserve"> </w:t>
      </w:r>
      <w:r>
        <w:t>considered to be problematic. This pattern was reversed in the case of the ‘local image’ and ‘landscape’ factors: the more influence the actors would have, the more problematic image and landscape would be perceived. Fo</w:t>
      </w:r>
      <w:r>
        <w:t xml:space="preserve">r example, the factor of </w:t>
      </w:r>
      <w:r>
        <w:rPr>
          <w:i/>
        </w:rPr>
        <w:t xml:space="preserve">landscape </w:t>
      </w:r>
      <w:r>
        <w:t>was best explained by patterns of overall strategic planning (beta=0.506), communication quality (beta=–0.453), local actor influence (beta=0.396) and timing of communication (beta=– 0.306), although it was also explained</w:t>
      </w:r>
      <w:r>
        <w:t xml:space="preserve"> by certain socio-economic aspects such as lack of social capital (beta=–0.303) and lack of resources</w:t>
      </w:r>
      <w:r>
        <w:rPr>
          <w:spacing w:val="-2"/>
        </w:rPr>
        <w:t xml:space="preserve"> </w:t>
      </w:r>
      <w:r>
        <w:t>(beta=0.308).</w:t>
      </w:r>
    </w:p>
    <w:p w:rsidR="00C94252" w:rsidRDefault="00C94252">
      <w:pPr>
        <w:jc w:val="both"/>
        <w:sectPr w:rsidR="00C94252">
          <w:pgSz w:w="11900" w:h="16850"/>
          <w:pgMar w:top="1340" w:right="1300" w:bottom="940" w:left="1300" w:header="0" w:footer="751" w:gutter="0"/>
          <w:cols w:space="708"/>
        </w:sectPr>
      </w:pPr>
    </w:p>
    <w:p w:rsidR="00C94252" w:rsidRDefault="00C94252">
      <w:pPr>
        <w:pStyle w:val="Brdtekst"/>
        <w:spacing w:before="6"/>
        <w:rPr>
          <w:sz w:val="17"/>
        </w:rPr>
      </w:pPr>
    </w:p>
    <w:p w:rsidR="00C94252" w:rsidRDefault="00A33443">
      <w:pPr>
        <w:pStyle w:val="Brdtekst"/>
        <w:spacing w:before="90"/>
        <w:ind w:left="115"/>
      </w:pPr>
      <w:r>
        <w:rPr>
          <w:b/>
        </w:rPr>
        <w:t>Table 3</w:t>
      </w:r>
      <w:r>
        <w:t>. Results from linear regression analysis. Dependent variable: resistance factors. ‘Don’t know’-responses in all variables are coded as 0; cases with missing values were excluded. Significance levels: *p&lt;0.05; **p&lt;0.005.</w:t>
      </w:r>
    </w:p>
    <w:p w:rsidR="00C94252" w:rsidRDefault="00C94252">
      <w:pPr>
        <w:pStyle w:val="Brdtekst"/>
        <w:spacing w:before="5"/>
        <w:rPr>
          <w:sz w:val="14"/>
        </w:rPr>
      </w:pPr>
    </w:p>
    <w:tbl>
      <w:tblPr>
        <w:tblStyle w:val="TableNormal"/>
        <w:tblW w:w="0" w:type="auto"/>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6"/>
        <w:gridCol w:w="1459"/>
        <w:gridCol w:w="552"/>
        <w:gridCol w:w="605"/>
        <w:gridCol w:w="549"/>
        <w:gridCol w:w="741"/>
        <w:gridCol w:w="518"/>
        <w:gridCol w:w="708"/>
        <w:gridCol w:w="552"/>
        <w:gridCol w:w="706"/>
        <w:gridCol w:w="547"/>
        <w:gridCol w:w="710"/>
        <w:gridCol w:w="520"/>
        <w:gridCol w:w="707"/>
        <w:gridCol w:w="515"/>
        <w:gridCol w:w="708"/>
        <w:gridCol w:w="604"/>
        <w:gridCol w:w="664"/>
        <w:gridCol w:w="520"/>
        <w:gridCol w:w="508"/>
      </w:tblGrid>
      <w:tr w:rsidR="00C94252">
        <w:trPr>
          <w:trHeight w:val="1051"/>
        </w:trPr>
        <w:tc>
          <w:tcPr>
            <w:tcW w:w="1416" w:type="dxa"/>
            <w:vMerge w:val="restart"/>
            <w:tcBorders>
              <w:bottom w:val="nil"/>
              <w:right w:val="single" w:sz="4" w:space="0" w:color="000000"/>
            </w:tcBorders>
          </w:tcPr>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A33443">
            <w:pPr>
              <w:pStyle w:val="TableParagraph"/>
              <w:spacing w:before="173" w:line="276" w:lineRule="auto"/>
              <w:ind w:left="408" w:right="246" w:hanging="128"/>
              <w:rPr>
                <w:i/>
                <w:sz w:val="18"/>
              </w:rPr>
            </w:pPr>
            <w:r>
              <w:rPr>
                <w:i/>
                <w:sz w:val="18"/>
              </w:rPr>
              <w:t>Category of variable</w:t>
            </w:r>
          </w:p>
        </w:tc>
        <w:tc>
          <w:tcPr>
            <w:tcW w:w="1459" w:type="dxa"/>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2"/>
              <w:ind w:left="93" w:right="71"/>
              <w:jc w:val="center"/>
              <w:rPr>
                <w:i/>
                <w:sz w:val="18"/>
              </w:rPr>
            </w:pPr>
            <w:r>
              <w:rPr>
                <w:i/>
                <w:sz w:val="18"/>
              </w:rPr>
              <w:t>Resistanc</w:t>
            </w:r>
            <w:r>
              <w:rPr>
                <w:i/>
                <w:sz w:val="18"/>
              </w:rPr>
              <w:t>e factor</w:t>
            </w:r>
          </w:p>
        </w:tc>
        <w:tc>
          <w:tcPr>
            <w:tcW w:w="115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7"/>
              <w:ind w:left="91"/>
              <w:rPr>
                <w:b/>
                <w:i/>
                <w:sz w:val="18"/>
              </w:rPr>
            </w:pPr>
            <w:r>
              <w:rPr>
                <w:b/>
                <w:i/>
                <w:sz w:val="18"/>
              </w:rPr>
              <w:t>Social justice</w:t>
            </w:r>
          </w:p>
        </w:tc>
        <w:tc>
          <w:tcPr>
            <w:tcW w:w="1290"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147" w:right="102" w:firstLine="19"/>
              <w:rPr>
                <w:b/>
                <w:i/>
                <w:sz w:val="18"/>
              </w:rPr>
            </w:pPr>
            <w:r>
              <w:rPr>
                <w:b/>
                <w:i/>
                <w:sz w:val="18"/>
              </w:rPr>
              <w:t>Participation inappropriate</w:t>
            </w:r>
          </w:p>
        </w:tc>
        <w:tc>
          <w:tcPr>
            <w:tcW w:w="1226"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7"/>
              <w:ind w:left="162"/>
              <w:rPr>
                <w:b/>
                <w:i/>
                <w:sz w:val="18"/>
              </w:rPr>
            </w:pPr>
            <w:r>
              <w:rPr>
                <w:b/>
                <w:i/>
                <w:sz w:val="18"/>
              </w:rPr>
              <w:t>Local image</w:t>
            </w:r>
          </w:p>
        </w:tc>
        <w:tc>
          <w:tcPr>
            <w:tcW w:w="1258"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7"/>
              <w:ind w:left="235"/>
              <w:rPr>
                <w:b/>
                <w:i/>
                <w:sz w:val="18"/>
              </w:rPr>
            </w:pPr>
            <w:r>
              <w:rPr>
                <w:b/>
                <w:i/>
                <w:sz w:val="18"/>
              </w:rPr>
              <w:t>Landscape</w:t>
            </w:r>
          </w:p>
        </w:tc>
        <w:tc>
          <w:tcPr>
            <w:tcW w:w="125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7"/>
              <w:ind w:left="144"/>
              <w:rPr>
                <w:b/>
                <w:i/>
                <w:sz w:val="18"/>
              </w:rPr>
            </w:pPr>
            <w:r>
              <w:rPr>
                <w:b/>
                <w:i/>
                <w:sz w:val="18"/>
              </w:rPr>
              <w:t>Environment</w:t>
            </w:r>
          </w:p>
        </w:tc>
        <w:tc>
          <w:tcPr>
            <w:tcW w:w="122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7"/>
              <w:ind w:left="322"/>
              <w:rPr>
                <w:b/>
                <w:i/>
                <w:sz w:val="18"/>
              </w:rPr>
            </w:pPr>
            <w:r>
              <w:rPr>
                <w:b/>
                <w:i/>
                <w:sz w:val="18"/>
              </w:rPr>
              <w:t>Conflict</w:t>
            </w:r>
          </w:p>
        </w:tc>
        <w:tc>
          <w:tcPr>
            <w:tcW w:w="1223"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271" w:right="222" w:firstLine="24"/>
              <w:rPr>
                <w:b/>
                <w:i/>
                <w:sz w:val="18"/>
              </w:rPr>
            </w:pPr>
            <w:r>
              <w:rPr>
                <w:b/>
                <w:i/>
                <w:sz w:val="18"/>
              </w:rPr>
              <w:t>External influence</w:t>
            </w:r>
          </w:p>
        </w:tc>
        <w:tc>
          <w:tcPr>
            <w:tcW w:w="1268"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150" w:right="98" w:firstLine="213"/>
              <w:rPr>
                <w:b/>
                <w:i/>
                <w:sz w:val="18"/>
              </w:rPr>
            </w:pPr>
            <w:r>
              <w:rPr>
                <w:b/>
                <w:i/>
                <w:sz w:val="18"/>
              </w:rPr>
              <w:t>Lack of identification</w:t>
            </w:r>
          </w:p>
        </w:tc>
        <w:tc>
          <w:tcPr>
            <w:tcW w:w="1028" w:type="dxa"/>
            <w:gridSpan w:val="2"/>
            <w:tcBorders>
              <w:left w:val="single" w:sz="4" w:space="0" w:color="000000"/>
              <w:bottom w:val="single" w:sz="6" w:space="0" w:color="000000"/>
            </w:tcBorders>
          </w:tcPr>
          <w:p w:rsidR="00C94252" w:rsidRDefault="00C94252">
            <w:pPr>
              <w:pStyle w:val="TableParagraph"/>
              <w:rPr>
                <w:sz w:val="20"/>
              </w:rPr>
            </w:pPr>
          </w:p>
          <w:p w:rsidR="00C94252" w:rsidRDefault="00A33443">
            <w:pPr>
              <w:pStyle w:val="TableParagraph"/>
              <w:spacing w:before="177"/>
              <w:ind w:left="327"/>
              <w:rPr>
                <w:b/>
                <w:i/>
                <w:sz w:val="18"/>
              </w:rPr>
            </w:pPr>
            <w:r>
              <w:rPr>
                <w:b/>
                <w:i/>
                <w:sz w:val="18"/>
              </w:rPr>
              <w:t>Trust</w:t>
            </w:r>
          </w:p>
        </w:tc>
      </w:tr>
      <w:tr w:rsidR="00C94252">
        <w:trPr>
          <w:trHeight w:val="583"/>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65"/>
              <w:ind w:left="93" w:right="68"/>
              <w:jc w:val="center"/>
              <w:rPr>
                <w:i/>
                <w:sz w:val="12"/>
              </w:rPr>
            </w:pPr>
            <w:r>
              <w:rPr>
                <w:i/>
                <w:sz w:val="18"/>
              </w:rPr>
              <w:t>Adjusted r</w:t>
            </w:r>
            <w:r>
              <w:rPr>
                <w:i/>
                <w:position w:val="6"/>
                <w:sz w:val="12"/>
              </w:rPr>
              <w:t>2</w:t>
            </w:r>
          </w:p>
        </w:tc>
        <w:tc>
          <w:tcPr>
            <w:tcW w:w="115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382"/>
              <w:rPr>
                <w:b/>
                <w:i/>
                <w:sz w:val="18"/>
              </w:rPr>
            </w:pPr>
            <w:r>
              <w:rPr>
                <w:b/>
                <w:i/>
                <w:sz w:val="18"/>
              </w:rPr>
              <w:t>0,175</w:t>
            </w:r>
          </w:p>
        </w:tc>
        <w:tc>
          <w:tcPr>
            <w:tcW w:w="1290"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49"/>
              <w:rPr>
                <w:b/>
                <w:i/>
                <w:sz w:val="18"/>
              </w:rPr>
            </w:pPr>
            <w:r>
              <w:rPr>
                <w:b/>
                <w:i/>
                <w:sz w:val="18"/>
              </w:rPr>
              <w:t>0,362</w:t>
            </w:r>
          </w:p>
        </w:tc>
        <w:tc>
          <w:tcPr>
            <w:tcW w:w="1226"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17"/>
              <w:rPr>
                <w:b/>
                <w:i/>
                <w:sz w:val="18"/>
              </w:rPr>
            </w:pPr>
            <w:r>
              <w:rPr>
                <w:b/>
                <w:i/>
                <w:sz w:val="18"/>
              </w:rPr>
              <w:t>0,206</w:t>
            </w:r>
          </w:p>
        </w:tc>
        <w:tc>
          <w:tcPr>
            <w:tcW w:w="1258"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32"/>
              <w:rPr>
                <w:b/>
                <w:i/>
                <w:sz w:val="18"/>
              </w:rPr>
            </w:pPr>
            <w:r>
              <w:rPr>
                <w:b/>
                <w:i/>
                <w:sz w:val="18"/>
              </w:rPr>
              <w:t>0,523</w:t>
            </w:r>
          </w:p>
        </w:tc>
        <w:tc>
          <w:tcPr>
            <w:tcW w:w="125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32"/>
              <w:rPr>
                <w:b/>
                <w:i/>
                <w:sz w:val="18"/>
              </w:rPr>
            </w:pPr>
            <w:r>
              <w:rPr>
                <w:b/>
                <w:i/>
                <w:sz w:val="18"/>
              </w:rPr>
              <w:t>0,250</w:t>
            </w:r>
          </w:p>
        </w:tc>
        <w:tc>
          <w:tcPr>
            <w:tcW w:w="122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20"/>
              <w:rPr>
                <w:b/>
                <w:i/>
                <w:sz w:val="18"/>
              </w:rPr>
            </w:pPr>
            <w:r>
              <w:rPr>
                <w:b/>
                <w:i/>
                <w:sz w:val="18"/>
              </w:rPr>
              <w:t>0,498</w:t>
            </w:r>
          </w:p>
        </w:tc>
        <w:tc>
          <w:tcPr>
            <w:tcW w:w="1223"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17"/>
              <w:rPr>
                <w:b/>
                <w:i/>
                <w:sz w:val="18"/>
              </w:rPr>
            </w:pPr>
            <w:r>
              <w:rPr>
                <w:b/>
                <w:i/>
                <w:sz w:val="18"/>
              </w:rPr>
              <w:t>0,368</w:t>
            </w:r>
          </w:p>
        </w:tc>
        <w:tc>
          <w:tcPr>
            <w:tcW w:w="1268"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3"/>
              <w:ind w:left="443"/>
              <w:rPr>
                <w:b/>
                <w:i/>
                <w:sz w:val="18"/>
              </w:rPr>
            </w:pPr>
            <w:r>
              <w:rPr>
                <w:b/>
                <w:i/>
                <w:sz w:val="18"/>
              </w:rPr>
              <w:t>0,148</w:t>
            </w:r>
          </w:p>
        </w:tc>
        <w:tc>
          <w:tcPr>
            <w:tcW w:w="1028" w:type="dxa"/>
            <w:gridSpan w:val="2"/>
            <w:tcBorders>
              <w:top w:val="single" w:sz="6" w:space="0" w:color="000000"/>
              <w:left w:val="single" w:sz="4" w:space="0" w:color="000000"/>
              <w:bottom w:val="single" w:sz="4" w:space="0" w:color="000000"/>
            </w:tcBorders>
          </w:tcPr>
          <w:p w:rsidR="00C94252" w:rsidRDefault="00A33443">
            <w:pPr>
              <w:pStyle w:val="TableParagraph"/>
              <w:spacing w:before="173"/>
              <w:ind w:left="324"/>
              <w:rPr>
                <w:b/>
                <w:i/>
                <w:sz w:val="18"/>
              </w:rPr>
            </w:pPr>
            <w:r>
              <w:rPr>
                <w:b/>
                <w:i/>
                <w:sz w:val="18"/>
              </w:rPr>
              <w:t>0,049</w:t>
            </w:r>
          </w:p>
        </w:tc>
      </w:tr>
      <w:tr w:rsidR="00C94252">
        <w:trPr>
          <w:trHeight w:val="558"/>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nil"/>
              <w:right w:val="single" w:sz="4" w:space="0" w:color="000000"/>
            </w:tcBorders>
          </w:tcPr>
          <w:p w:rsidR="00C94252" w:rsidRDefault="00A33443">
            <w:pPr>
              <w:pStyle w:val="TableParagraph"/>
              <w:spacing w:before="151"/>
              <w:ind w:left="93" w:right="66"/>
              <w:jc w:val="center"/>
              <w:rPr>
                <w:i/>
                <w:sz w:val="18"/>
              </w:rPr>
            </w:pPr>
            <w:r>
              <w:rPr>
                <w:i/>
                <w:sz w:val="18"/>
              </w:rPr>
              <w:t>Variable</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34"/>
              <w:rPr>
                <w:i/>
                <w:sz w:val="16"/>
              </w:rPr>
            </w:pPr>
            <w:r>
              <w:rPr>
                <w:i/>
                <w:sz w:val="16"/>
              </w:rPr>
              <w:t>Beta</w:t>
            </w:r>
          </w:p>
        </w:tc>
        <w:tc>
          <w:tcPr>
            <w:tcW w:w="605"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229" w:right="206"/>
              <w:jc w:val="center"/>
              <w:rPr>
                <w:i/>
                <w:sz w:val="16"/>
              </w:rPr>
            </w:pPr>
            <w:r>
              <w:rPr>
                <w:i/>
                <w:sz w:val="16"/>
              </w:rPr>
              <w:t>p.</w:t>
            </w:r>
          </w:p>
        </w:tc>
        <w:tc>
          <w:tcPr>
            <w:tcW w:w="549"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35"/>
              <w:rPr>
                <w:i/>
                <w:sz w:val="16"/>
              </w:rPr>
            </w:pPr>
            <w:r>
              <w:rPr>
                <w:i/>
                <w:sz w:val="16"/>
              </w:rPr>
              <w:t>Beta</w:t>
            </w:r>
          </w:p>
        </w:tc>
        <w:tc>
          <w:tcPr>
            <w:tcW w:w="741"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297" w:right="274"/>
              <w:jc w:val="center"/>
              <w:rPr>
                <w:i/>
                <w:sz w:val="16"/>
              </w:rPr>
            </w:pPr>
            <w:r>
              <w:rPr>
                <w:i/>
                <w:sz w:val="16"/>
              </w:rPr>
              <w:t>p.</w:t>
            </w:r>
          </w:p>
        </w:tc>
        <w:tc>
          <w:tcPr>
            <w:tcW w:w="51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68" w:right="43"/>
              <w:jc w:val="center"/>
              <w:rPr>
                <w:i/>
                <w:sz w:val="16"/>
              </w:rPr>
            </w:pPr>
            <w:r>
              <w:rPr>
                <w:i/>
                <w:sz w:val="16"/>
              </w:rPr>
              <w:t>Beta</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right="270"/>
              <w:jc w:val="right"/>
              <w:rPr>
                <w:i/>
                <w:sz w:val="16"/>
              </w:rPr>
            </w:pPr>
            <w:r>
              <w:rPr>
                <w:i/>
                <w:sz w:val="16"/>
              </w:rPr>
              <w:t>p.</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34"/>
              <w:rPr>
                <w:i/>
                <w:sz w:val="16"/>
              </w:rPr>
            </w:pPr>
            <w:r>
              <w:rPr>
                <w:i/>
                <w:sz w:val="16"/>
              </w:rPr>
              <w:t>Beta</w:t>
            </w:r>
          </w:p>
        </w:tc>
        <w:tc>
          <w:tcPr>
            <w:tcW w:w="706"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281" w:right="254"/>
              <w:jc w:val="center"/>
              <w:rPr>
                <w:i/>
                <w:sz w:val="16"/>
              </w:rPr>
            </w:pPr>
            <w:r>
              <w:rPr>
                <w:i/>
                <w:sz w:val="16"/>
              </w:rPr>
              <w:t>p.</w:t>
            </w:r>
          </w:p>
        </w:tc>
        <w:tc>
          <w:tcPr>
            <w:tcW w:w="547"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34"/>
              <w:rPr>
                <w:i/>
                <w:sz w:val="16"/>
              </w:rPr>
            </w:pPr>
            <w:r>
              <w:rPr>
                <w:i/>
                <w:sz w:val="16"/>
              </w:rPr>
              <w:t>Beta</w:t>
            </w:r>
          </w:p>
        </w:tc>
        <w:tc>
          <w:tcPr>
            <w:tcW w:w="71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284" w:right="256"/>
              <w:jc w:val="center"/>
              <w:rPr>
                <w:i/>
                <w:sz w:val="16"/>
              </w:rPr>
            </w:pPr>
            <w:r>
              <w:rPr>
                <w:i/>
                <w:sz w:val="16"/>
              </w:rPr>
              <w:t>p.</w:t>
            </w: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69" w:right="40"/>
              <w:jc w:val="center"/>
              <w:rPr>
                <w:i/>
                <w:sz w:val="16"/>
              </w:rPr>
            </w:pPr>
            <w:r>
              <w:rPr>
                <w:i/>
                <w:sz w:val="16"/>
              </w:rPr>
              <w:t>Beta</w:t>
            </w:r>
          </w:p>
        </w:tc>
        <w:tc>
          <w:tcPr>
            <w:tcW w:w="707"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71" w:right="38"/>
              <w:jc w:val="center"/>
              <w:rPr>
                <w:i/>
                <w:sz w:val="16"/>
              </w:rPr>
            </w:pPr>
            <w:r>
              <w:rPr>
                <w:i/>
                <w:sz w:val="16"/>
              </w:rPr>
              <w:t>p.</w:t>
            </w:r>
          </w:p>
        </w:tc>
        <w:tc>
          <w:tcPr>
            <w:tcW w:w="515"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20"/>
              <w:rPr>
                <w:i/>
                <w:sz w:val="16"/>
              </w:rPr>
            </w:pPr>
            <w:r>
              <w:rPr>
                <w:i/>
                <w:sz w:val="16"/>
              </w:rPr>
              <w:t>Beta</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73" w:right="37"/>
              <w:jc w:val="center"/>
              <w:rPr>
                <w:i/>
                <w:sz w:val="16"/>
              </w:rPr>
            </w:pPr>
            <w:r>
              <w:rPr>
                <w:i/>
                <w:sz w:val="16"/>
              </w:rPr>
              <w:t>p.</w:t>
            </w:r>
          </w:p>
        </w:tc>
        <w:tc>
          <w:tcPr>
            <w:tcW w:w="604"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right="130"/>
              <w:jc w:val="right"/>
              <w:rPr>
                <w:i/>
                <w:sz w:val="16"/>
              </w:rPr>
            </w:pPr>
            <w:r>
              <w:rPr>
                <w:i/>
                <w:sz w:val="16"/>
              </w:rPr>
              <w:t>Beta</w:t>
            </w:r>
          </w:p>
        </w:tc>
        <w:tc>
          <w:tcPr>
            <w:tcW w:w="664"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right="243"/>
              <w:jc w:val="right"/>
              <w:rPr>
                <w:i/>
                <w:sz w:val="16"/>
              </w:rPr>
            </w:pPr>
            <w:r>
              <w:rPr>
                <w:i/>
                <w:sz w:val="16"/>
              </w:rPr>
              <w:t>p.</w:t>
            </w: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spacing w:before="1"/>
              <w:ind w:left="125"/>
              <w:rPr>
                <w:i/>
                <w:sz w:val="16"/>
              </w:rPr>
            </w:pPr>
            <w:r>
              <w:rPr>
                <w:i/>
                <w:sz w:val="16"/>
              </w:rPr>
              <w:t>Beta</w:t>
            </w:r>
          </w:p>
        </w:tc>
        <w:tc>
          <w:tcPr>
            <w:tcW w:w="508" w:type="dxa"/>
            <w:tcBorders>
              <w:top w:val="single" w:sz="4" w:space="0" w:color="000000"/>
              <w:left w:val="single" w:sz="4" w:space="0" w:color="000000"/>
              <w:bottom w:val="nil"/>
            </w:tcBorders>
          </w:tcPr>
          <w:p w:rsidR="00C94252" w:rsidRDefault="00C94252">
            <w:pPr>
              <w:pStyle w:val="TableParagraph"/>
              <w:spacing w:before="6"/>
              <w:rPr>
                <w:sz w:val="14"/>
              </w:rPr>
            </w:pPr>
          </w:p>
          <w:p w:rsidR="00C94252" w:rsidRDefault="00A33443">
            <w:pPr>
              <w:pStyle w:val="TableParagraph"/>
              <w:spacing w:before="1"/>
              <w:ind w:left="210"/>
              <w:rPr>
                <w:i/>
                <w:sz w:val="16"/>
              </w:rPr>
            </w:pPr>
            <w:r>
              <w:rPr>
                <w:i/>
                <w:sz w:val="16"/>
              </w:rPr>
              <w:t>p.</w:t>
            </w:r>
          </w:p>
        </w:tc>
      </w:tr>
      <w:tr w:rsidR="00C94252">
        <w:trPr>
          <w:trHeight w:val="736"/>
        </w:trPr>
        <w:tc>
          <w:tcPr>
            <w:tcW w:w="1416" w:type="dxa"/>
            <w:vMerge w:val="restart"/>
            <w:tcBorders>
              <w:top w:val="nil"/>
              <w:bottom w:val="single" w:sz="6" w:space="0" w:color="000000"/>
              <w:right w:val="single" w:sz="4" w:space="0" w:color="000000"/>
            </w:tcBorders>
          </w:tcPr>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spacing w:before="10"/>
              <w:rPr>
                <w:sz w:val="17"/>
              </w:rPr>
            </w:pPr>
          </w:p>
          <w:p w:rsidR="00C94252" w:rsidRDefault="00A33443">
            <w:pPr>
              <w:pStyle w:val="TableParagraph"/>
              <w:spacing w:before="1" w:line="276" w:lineRule="auto"/>
              <w:ind w:left="81" w:right="62" w:hanging="2"/>
              <w:jc w:val="center"/>
              <w:rPr>
                <w:sz w:val="18"/>
              </w:rPr>
            </w:pPr>
            <w:r>
              <w:rPr>
                <w:sz w:val="18"/>
              </w:rPr>
              <w:t>Strategic planning: general patterns</w:t>
            </w:r>
          </w:p>
        </w:tc>
        <w:tc>
          <w:tcPr>
            <w:tcW w:w="1459" w:type="dxa"/>
            <w:tcBorders>
              <w:top w:val="nil"/>
              <w:left w:val="single" w:sz="4" w:space="0" w:color="000000"/>
              <w:bottom w:val="single" w:sz="6" w:space="0" w:color="000000"/>
              <w:right w:val="single" w:sz="4" w:space="0" w:color="000000"/>
            </w:tcBorders>
          </w:tcPr>
          <w:p w:rsidR="00C94252" w:rsidRDefault="00A33443">
            <w:pPr>
              <w:pStyle w:val="TableParagraph"/>
              <w:spacing w:before="133" w:line="276" w:lineRule="auto"/>
              <w:ind w:left="86" w:right="378"/>
              <w:rPr>
                <w:sz w:val="18"/>
              </w:rPr>
            </w:pPr>
            <w:r>
              <w:rPr>
                <w:sz w:val="18"/>
              </w:rPr>
              <w:t>Priority areas defined (Q6)</w:t>
            </w: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605"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49"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41"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1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21"/>
              </w:rPr>
            </w:pPr>
          </w:p>
          <w:p w:rsidR="00C94252" w:rsidRDefault="00A33443">
            <w:pPr>
              <w:pStyle w:val="TableParagraph"/>
              <w:spacing w:before="1"/>
              <w:ind w:left="86"/>
              <w:rPr>
                <w:b/>
                <w:sz w:val="16"/>
              </w:rPr>
            </w:pPr>
            <w:r>
              <w:rPr>
                <w:b/>
                <w:sz w:val="16"/>
              </w:rPr>
              <w:t>-,255</w:t>
            </w:r>
          </w:p>
        </w:tc>
        <w:tc>
          <w:tcPr>
            <w:tcW w:w="706"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21"/>
              </w:rPr>
            </w:pPr>
          </w:p>
          <w:p w:rsidR="00C94252" w:rsidRDefault="00A33443">
            <w:pPr>
              <w:pStyle w:val="TableParagraph"/>
              <w:spacing w:before="1"/>
              <w:ind w:left="86"/>
              <w:rPr>
                <w:b/>
                <w:sz w:val="16"/>
              </w:rPr>
            </w:pPr>
            <w:r>
              <w:rPr>
                <w:b/>
                <w:sz w:val="16"/>
              </w:rPr>
              <w:t>,037*</w:t>
            </w:r>
          </w:p>
        </w:tc>
        <w:tc>
          <w:tcPr>
            <w:tcW w:w="547"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1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21"/>
              </w:rPr>
            </w:pPr>
          </w:p>
          <w:p w:rsidR="00C94252" w:rsidRDefault="00A33443">
            <w:pPr>
              <w:pStyle w:val="TableParagraph"/>
              <w:spacing w:before="1"/>
              <w:ind w:left="19" w:right="66"/>
              <w:jc w:val="center"/>
              <w:rPr>
                <w:b/>
                <w:sz w:val="16"/>
              </w:rPr>
            </w:pPr>
            <w:r>
              <w:rPr>
                <w:b/>
                <w:sz w:val="16"/>
              </w:rPr>
              <w:t>,556</w:t>
            </w:r>
          </w:p>
        </w:tc>
        <w:tc>
          <w:tcPr>
            <w:tcW w:w="707"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21"/>
              </w:rPr>
            </w:pPr>
          </w:p>
          <w:p w:rsidR="00C94252" w:rsidRDefault="00A33443">
            <w:pPr>
              <w:pStyle w:val="TableParagraph"/>
              <w:spacing w:before="1"/>
              <w:ind w:left="71" w:right="145"/>
              <w:jc w:val="center"/>
              <w:rPr>
                <w:b/>
                <w:sz w:val="16"/>
              </w:rPr>
            </w:pPr>
            <w:r>
              <w:rPr>
                <w:b/>
                <w:sz w:val="16"/>
              </w:rPr>
              <w:t>,000**</w:t>
            </w:r>
          </w:p>
        </w:tc>
        <w:tc>
          <w:tcPr>
            <w:tcW w:w="515"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604"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664"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08" w:type="dxa"/>
            <w:tcBorders>
              <w:top w:val="nil"/>
              <w:left w:val="single" w:sz="4" w:space="0" w:color="000000"/>
              <w:bottom w:val="single" w:sz="6" w:space="0" w:color="000000"/>
            </w:tcBorders>
          </w:tcPr>
          <w:p w:rsidR="00C94252" w:rsidRDefault="00C94252">
            <w:pPr>
              <w:pStyle w:val="TableParagraph"/>
              <w:rPr>
                <w:sz w:val="18"/>
              </w:rPr>
            </w:pPr>
          </w:p>
        </w:tc>
      </w:tr>
      <w:tr w:rsidR="00C94252">
        <w:trPr>
          <w:trHeight w:val="870"/>
        </w:trPr>
        <w:tc>
          <w:tcPr>
            <w:tcW w:w="1416" w:type="dxa"/>
            <w:vMerge/>
            <w:tcBorders>
              <w:top w:val="nil"/>
              <w:bottom w:val="single" w:sz="6" w:space="0" w:color="000000"/>
              <w:right w:val="single" w:sz="4" w:space="0" w:color="000000"/>
            </w:tcBorders>
          </w:tcPr>
          <w:p w:rsidR="00C94252" w:rsidRDefault="00C94252">
            <w:pPr>
              <w:rPr>
                <w:sz w:val="2"/>
                <w:szCs w:val="2"/>
              </w:rPr>
            </w:pPr>
          </w:p>
        </w:tc>
        <w:tc>
          <w:tcPr>
            <w:tcW w:w="1459" w:type="dxa"/>
            <w:tcBorders>
              <w:top w:val="single" w:sz="6" w:space="0" w:color="000000"/>
              <w:left w:val="single" w:sz="4" w:space="0" w:color="000000"/>
              <w:bottom w:val="nil"/>
              <w:right w:val="single" w:sz="4" w:space="0" w:color="000000"/>
            </w:tcBorders>
          </w:tcPr>
          <w:p w:rsidR="00C94252" w:rsidRDefault="00A33443">
            <w:pPr>
              <w:pStyle w:val="TableParagraph"/>
              <w:spacing w:before="75" w:line="276" w:lineRule="auto"/>
              <w:ind w:left="86" w:right="288"/>
              <w:rPr>
                <w:sz w:val="18"/>
              </w:rPr>
            </w:pPr>
            <w:r>
              <w:rPr>
                <w:sz w:val="18"/>
              </w:rPr>
              <w:t>Financial participation regulated (Q6)</w:t>
            </w:r>
          </w:p>
        </w:tc>
        <w:tc>
          <w:tcPr>
            <w:tcW w:w="552"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605"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49"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7"/>
              <w:rPr>
                <w:b/>
                <w:sz w:val="16"/>
              </w:rPr>
            </w:pPr>
            <w:r>
              <w:rPr>
                <w:b/>
                <w:sz w:val="16"/>
              </w:rPr>
              <w:t>,593</w:t>
            </w:r>
          </w:p>
        </w:tc>
        <w:tc>
          <w:tcPr>
            <w:tcW w:w="741"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5"/>
              <w:rPr>
                <w:b/>
                <w:sz w:val="16"/>
              </w:rPr>
            </w:pPr>
            <w:r>
              <w:rPr>
                <w:b/>
                <w:sz w:val="16"/>
              </w:rPr>
              <w:t>,000**</w:t>
            </w:r>
          </w:p>
        </w:tc>
        <w:tc>
          <w:tcPr>
            <w:tcW w:w="51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52"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6"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47"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1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2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7"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15"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604"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664"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2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08" w:type="dxa"/>
            <w:tcBorders>
              <w:top w:val="single" w:sz="6" w:space="0" w:color="000000"/>
              <w:left w:val="single" w:sz="4" w:space="0" w:color="000000"/>
              <w:bottom w:val="nil"/>
            </w:tcBorders>
          </w:tcPr>
          <w:p w:rsidR="00C94252" w:rsidRDefault="00C94252">
            <w:pPr>
              <w:pStyle w:val="TableParagraph"/>
              <w:rPr>
                <w:sz w:val="18"/>
              </w:rPr>
            </w:pPr>
          </w:p>
        </w:tc>
      </w:tr>
      <w:tr w:rsidR="00C94252">
        <w:trPr>
          <w:trHeight w:val="868"/>
        </w:trPr>
        <w:tc>
          <w:tcPr>
            <w:tcW w:w="1416" w:type="dxa"/>
            <w:vMerge/>
            <w:tcBorders>
              <w:top w:val="nil"/>
              <w:bottom w:val="single" w:sz="6" w:space="0" w:color="000000"/>
              <w:right w:val="single" w:sz="4" w:space="0" w:color="000000"/>
            </w:tcBorders>
          </w:tcPr>
          <w:p w:rsidR="00C94252" w:rsidRDefault="00C94252">
            <w:pPr>
              <w:rPr>
                <w:sz w:val="2"/>
                <w:szCs w:val="2"/>
              </w:rPr>
            </w:pPr>
          </w:p>
        </w:tc>
        <w:tc>
          <w:tcPr>
            <w:tcW w:w="1459" w:type="dxa"/>
            <w:tcBorders>
              <w:top w:val="nil"/>
              <w:left w:val="single" w:sz="4" w:space="0" w:color="000000"/>
              <w:bottom w:val="single" w:sz="6" w:space="0" w:color="000000"/>
              <w:right w:val="single" w:sz="4" w:space="0" w:color="000000"/>
            </w:tcBorders>
          </w:tcPr>
          <w:p w:rsidR="00C94252" w:rsidRDefault="00A33443">
            <w:pPr>
              <w:pStyle w:val="TableParagraph"/>
              <w:spacing w:before="73" w:line="276" w:lineRule="auto"/>
              <w:ind w:left="86" w:right="148"/>
              <w:rPr>
                <w:sz w:val="18"/>
              </w:rPr>
            </w:pPr>
            <w:r>
              <w:rPr>
                <w:sz w:val="18"/>
              </w:rPr>
              <w:t>Overall strategic planning (Q6_sum)</w:t>
            </w: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-,354</w:t>
            </w:r>
          </w:p>
        </w:tc>
        <w:tc>
          <w:tcPr>
            <w:tcW w:w="605"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,026*</w:t>
            </w:r>
          </w:p>
        </w:tc>
        <w:tc>
          <w:tcPr>
            <w:tcW w:w="549"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41"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1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,506</w:t>
            </w:r>
          </w:p>
        </w:tc>
        <w:tc>
          <w:tcPr>
            <w:tcW w:w="706"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,001**</w:t>
            </w:r>
          </w:p>
        </w:tc>
        <w:tc>
          <w:tcPr>
            <w:tcW w:w="547"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-,409</w:t>
            </w:r>
          </w:p>
        </w:tc>
        <w:tc>
          <w:tcPr>
            <w:tcW w:w="71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9"/>
              <w:rPr>
                <w:b/>
                <w:sz w:val="16"/>
              </w:rPr>
            </w:pPr>
            <w:r>
              <w:rPr>
                <w:b/>
                <w:sz w:val="16"/>
              </w:rPr>
              <w:t>,007**</w:t>
            </w: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69" w:right="66"/>
              <w:jc w:val="center"/>
              <w:rPr>
                <w:b/>
                <w:sz w:val="16"/>
              </w:rPr>
            </w:pPr>
            <w:r>
              <w:rPr>
                <w:b/>
                <w:sz w:val="16"/>
              </w:rPr>
              <w:t>-,700</w:t>
            </w:r>
          </w:p>
        </w:tc>
        <w:tc>
          <w:tcPr>
            <w:tcW w:w="707"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71" w:right="145"/>
              <w:jc w:val="center"/>
              <w:rPr>
                <w:b/>
                <w:sz w:val="16"/>
              </w:rPr>
            </w:pPr>
            <w:r>
              <w:rPr>
                <w:b/>
                <w:sz w:val="16"/>
              </w:rPr>
              <w:t>,000**</w:t>
            </w:r>
          </w:p>
        </w:tc>
        <w:tc>
          <w:tcPr>
            <w:tcW w:w="515"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604"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664"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tc>
        <w:tc>
          <w:tcPr>
            <w:tcW w:w="508" w:type="dxa"/>
            <w:tcBorders>
              <w:top w:val="nil"/>
              <w:left w:val="single" w:sz="4" w:space="0" w:color="000000"/>
              <w:bottom w:val="single" w:sz="6" w:space="0" w:color="000000"/>
            </w:tcBorders>
          </w:tcPr>
          <w:p w:rsidR="00C94252" w:rsidRDefault="00C94252">
            <w:pPr>
              <w:pStyle w:val="TableParagraph"/>
              <w:rPr>
                <w:sz w:val="18"/>
              </w:rPr>
            </w:pPr>
          </w:p>
        </w:tc>
      </w:tr>
      <w:tr w:rsidR="00C94252">
        <w:trPr>
          <w:trHeight w:val="875"/>
        </w:trPr>
        <w:tc>
          <w:tcPr>
            <w:tcW w:w="1416" w:type="dxa"/>
            <w:vMerge w:val="restart"/>
            <w:tcBorders>
              <w:top w:val="single" w:sz="6" w:space="0" w:color="000000"/>
              <w:bottom w:val="nil"/>
              <w:right w:val="single" w:sz="4" w:space="0" w:color="000000"/>
            </w:tcBorders>
          </w:tcPr>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spacing w:before="8"/>
              <w:rPr>
                <w:sz w:val="17"/>
              </w:rPr>
            </w:pPr>
          </w:p>
          <w:p w:rsidR="00C94252" w:rsidRDefault="00A33443">
            <w:pPr>
              <w:pStyle w:val="TableParagraph"/>
              <w:spacing w:line="276" w:lineRule="auto"/>
              <w:ind w:left="148" w:right="131"/>
              <w:jc w:val="center"/>
              <w:rPr>
                <w:sz w:val="18"/>
              </w:rPr>
            </w:pPr>
            <w:r>
              <w:rPr>
                <w:sz w:val="18"/>
              </w:rPr>
              <w:t>Strategic planning: communication &amp; participation</w:t>
            </w:r>
          </w:p>
        </w:tc>
        <w:tc>
          <w:tcPr>
            <w:tcW w:w="1459" w:type="dxa"/>
            <w:tcBorders>
              <w:top w:val="single" w:sz="6" w:space="0" w:color="000000"/>
              <w:left w:val="single" w:sz="4" w:space="0" w:color="000000"/>
              <w:bottom w:val="nil"/>
              <w:right w:val="single" w:sz="4" w:space="0" w:color="000000"/>
            </w:tcBorders>
          </w:tcPr>
          <w:p w:rsidR="00C94252" w:rsidRDefault="00A33443">
            <w:pPr>
              <w:pStyle w:val="TableParagraph"/>
              <w:spacing w:before="75" w:line="276" w:lineRule="auto"/>
              <w:ind w:left="86" w:right="163"/>
              <w:jc w:val="both"/>
              <w:rPr>
                <w:sz w:val="18"/>
              </w:rPr>
            </w:pPr>
            <w:r>
              <w:rPr>
                <w:sz w:val="18"/>
              </w:rPr>
              <w:t>Communication quality (content) (Q8)</w:t>
            </w:r>
          </w:p>
        </w:tc>
        <w:tc>
          <w:tcPr>
            <w:tcW w:w="552"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,398</w:t>
            </w:r>
          </w:p>
        </w:tc>
        <w:tc>
          <w:tcPr>
            <w:tcW w:w="605"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,029*</w:t>
            </w:r>
          </w:p>
        </w:tc>
        <w:tc>
          <w:tcPr>
            <w:tcW w:w="549"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41"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1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52"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-,453</w:t>
            </w:r>
          </w:p>
        </w:tc>
        <w:tc>
          <w:tcPr>
            <w:tcW w:w="706"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,004**</w:t>
            </w:r>
          </w:p>
        </w:tc>
        <w:tc>
          <w:tcPr>
            <w:tcW w:w="547"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6"/>
              <w:rPr>
                <w:b/>
                <w:sz w:val="16"/>
              </w:rPr>
            </w:pPr>
            <w:r>
              <w:rPr>
                <w:b/>
                <w:sz w:val="16"/>
              </w:rPr>
              <w:t>,537</w:t>
            </w:r>
          </w:p>
        </w:tc>
        <w:tc>
          <w:tcPr>
            <w:tcW w:w="71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spacing w:before="6"/>
              <w:rPr>
                <w:sz w:val="14"/>
              </w:rPr>
            </w:pPr>
          </w:p>
          <w:p w:rsidR="00C94252" w:rsidRDefault="00A33443">
            <w:pPr>
              <w:pStyle w:val="TableParagraph"/>
              <w:ind w:left="89"/>
              <w:rPr>
                <w:b/>
                <w:sz w:val="16"/>
              </w:rPr>
            </w:pPr>
            <w:r>
              <w:rPr>
                <w:b/>
                <w:sz w:val="16"/>
              </w:rPr>
              <w:t>,001**</w:t>
            </w:r>
          </w:p>
        </w:tc>
        <w:tc>
          <w:tcPr>
            <w:tcW w:w="52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7"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15"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708"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604"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664"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20" w:type="dxa"/>
            <w:tcBorders>
              <w:top w:val="single" w:sz="6" w:space="0" w:color="000000"/>
              <w:left w:val="single" w:sz="4" w:space="0" w:color="000000"/>
              <w:bottom w:val="nil"/>
              <w:right w:val="single" w:sz="4" w:space="0" w:color="000000"/>
            </w:tcBorders>
          </w:tcPr>
          <w:p w:rsidR="00C94252" w:rsidRDefault="00C94252">
            <w:pPr>
              <w:pStyle w:val="TableParagraph"/>
              <w:rPr>
                <w:sz w:val="18"/>
              </w:rPr>
            </w:pPr>
          </w:p>
        </w:tc>
        <w:tc>
          <w:tcPr>
            <w:tcW w:w="508" w:type="dxa"/>
            <w:tcBorders>
              <w:top w:val="single" w:sz="6" w:space="0" w:color="000000"/>
              <w:left w:val="single" w:sz="4" w:space="0" w:color="000000"/>
              <w:bottom w:val="nil"/>
            </w:tcBorders>
          </w:tcPr>
          <w:p w:rsidR="00C94252" w:rsidRDefault="00C94252">
            <w:pPr>
              <w:pStyle w:val="TableParagraph"/>
              <w:rPr>
                <w:sz w:val="18"/>
              </w:rPr>
            </w:pPr>
          </w:p>
        </w:tc>
      </w:tr>
      <w:tr w:rsidR="00C94252">
        <w:trPr>
          <w:trHeight w:val="1037"/>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nil"/>
              <w:left w:val="single" w:sz="4" w:space="0" w:color="000000"/>
              <w:bottom w:val="single" w:sz="4" w:space="0" w:color="000000"/>
              <w:right w:val="single" w:sz="4" w:space="0" w:color="000000"/>
            </w:tcBorders>
          </w:tcPr>
          <w:p w:rsidR="00C94252" w:rsidRDefault="00A33443">
            <w:pPr>
              <w:pStyle w:val="TableParagraph"/>
              <w:spacing w:before="166" w:line="276" w:lineRule="auto"/>
              <w:ind w:left="86" w:right="183"/>
              <w:rPr>
                <w:sz w:val="18"/>
              </w:rPr>
            </w:pPr>
            <w:r>
              <w:rPr>
                <w:sz w:val="18"/>
              </w:rPr>
              <w:t>Communication quality (final decisions) (Q8)</w:t>
            </w:r>
          </w:p>
        </w:tc>
        <w:tc>
          <w:tcPr>
            <w:tcW w:w="552"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33"/>
              <w:ind w:left="86"/>
              <w:rPr>
                <w:sz w:val="16"/>
              </w:rPr>
            </w:pPr>
            <w:r>
              <w:rPr>
                <w:sz w:val="16"/>
              </w:rPr>
              <w:t>,358</w:t>
            </w:r>
          </w:p>
        </w:tc>
        <w:tc>
          <w:tcPr>
            <w:tcW w:w="605"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33"/>
              <w:ind w:left="86"/>
              <w:rPr>
                <w:sz w:val="16"/>
              </w:rPr>
            </w:pPr>
            <w:r>
              <w:rPr>
                <w:sz w:val="16"/>
              </w:rPr>
              <w:t>,077</w:t>
            </w:r>
          </w:p>
        </w:tc>
        <w:tc>
          <w:tcPr>
            <w:tcW w:w="549"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741"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18"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52"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706"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47"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710"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20"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35"/>
              <w:ind w:left="19" w:right="66"/>
              <w:jc w:val="center"/>
              <w:rPr>
                <w:b/>
                <w:sz w:val="16"/>
              </w:rPr>
            </w:pPr>
            <w:r>
              <w:rPr>
                <w:b/>
                <w:sz w:val="16"/>
              </w:rPr>
              <w:t>,547</w:t>
            </w:r>
          </w:p>
        </w:tc>
        <w:tc>
          <w:tcPr>
            <w:tcW w:w="707"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35"/>
              <w:ind w:left="71" w:right="145"/>
              <w:jc w:val="center"/>
              <w:rPr>
                <w:b/>
                <w:sz w:val="16"/>
              </w:rPr>
            </w:pPr>
            <w:r>
              <w:rPr>
                <w:b/>
                <w:sz w:val="16"/>
              </w:rPr>
              <w:t>,000**</w:t>
            </w:r>
          </w:p>
        </w:tc>
        <w:tc>
          <w:tcPr>
            <w:tcW w:w="515"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708"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604"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664"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20"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tc>
        <w:tc>
          <w:tcPr>
            <w:tcW w:w="508" w:type="dxa"/>
            <w:tcBorders>
              <w:top w:val="nil"/>
              <w:left w:val="single" w:sz="4" w:space="0" w:color="000000"/>
              <w:bottom w:val="single" w:sz="4" w:space="0" w:color="000000"/>
            </w:tcBorders>
          </w:tcPr>
          <w:p w:rsidR="00C94252" w:rsidRDefault="00C94252">
            <w:pPr>
              <w:pStyle w:val="TableParagraph"/>
              <w:rPr>
                <w:sz w:val="18"/>
              </w:rPr>
            </w:pPr>
          </w:p>
        </w:tc>
      </w:tr>
      <w:tr w:rsidR="00C94252">
        <w:trPr>
          <w:trHeight w:val="834"/>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nil"/>
              <w:right w:val="single" w:sz="4" w:space="0" w:color="000000"/>
            </w:tcBorders>
          </w:tcPr>
          <w:p w:rsidR="00C94252" w:rsidRDefault="00A33443">
            <w:pPr>
              <w:pStyle w:val="TableParagraph"/>
              <w:spacing w:before="170" w:line="276" w:lineRule="auto"/>
              <w:ind w:left="86" w:right="158"/>
              <w:rPr>
                <w:sz w:val="18"/>
              </w:rPr>
            </w:pPr>
            <w:r>
              <w:rPr>
                <w:sz w:val="18"/>
              </w:rPr>
              <w:t>Political resistance (Q12)</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6"/>
              <w:rPr>
                <w:sz w:val="16"/>
              </w:rPr>
            </w:pPr>
            <w:r>
              <w:rPr>
                <w:sz w:val="16"/>
              </w:rPr>
              <w:t>,198</w:t>
            </w:r>
          </w:p>
        </w:tc>
        <w:tc>
          <w:tcPr>
            <w:tcW w:w="605"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6"/>
              <w:rPr>
                <w:sz w:val="16"/>
              </w:rPr>
            </w:pPr>
            <w:r>
              <w:rPr>
                <w:sz w:val="16"/>
              </w:rPr>
              <w:t>,110</w:t>
            </w:r>
          </w:p>
        </w:tc>
        <w:tc>
          <w:tcPr>
            <w:tcW w:w="549"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7"/>
              <w:rPr>
                <w:sz w:val="16"/>
              </w:rPr>
            </w:pPr>
            <w:r>
              <w:rPr>
                <w:sz w:val="16"/>
              </w:rPr>
              <w:t>,218</w:t>
            </w:r>
          </w:p>
        </w:tc>
        <w:tc>
          <w:tcPr>
            <w:tcW w:w="741"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5"/>
              <w:rPr>
                <w:sz w:val="16"/>
              </w:rPr>
            </w:pPr>
            <w:r>
              <w:rPr>
                <w:sz w:val="16"/>
              </w:rPr>
              <w:t>,095</w:t>
            </w:r>
          </w:p>
        </w:tc>
        <w:tc>
          <w:tcPr>
            <w:tcW w:w="51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6"/>
              <w:rPr>
                <w:sz w:val="16"/>
              </w:rPr>
            </w:pPr>
            <w:r>
              <w:rPr>
                <w:sz w:val="16"/>
              </w:rPr>
              <w:t>,186</w:t>
            </w:r>
          </w:p>
        </w:tc>
        <w:tc>
          <w:tcPr>
            <w:tcW w:w="706"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8"/>
              <w:ind w:left="86"/>
              <w:rPr>
                <w:sz w:val="16"/>
              </w:rPr>
            </w:pPr>
            <w:r>
              <w:rPr>
                <w:sz w:val="16"/>
              </w:rPr>
              <w:t>,080</w:t>
            </w:r>
          </w:p>
        </w:tc>
        <w:tc>
          <w:tcPr>
            <w:tcW w:w="547"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710"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707"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515"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21"/>
              <w:ind w:left="88"/>
              <w:rPr>
                <w:b/>
                <w:sz w:val="16"/>
              </w:rPr>
            </w:pPr>
            <w:r>
              <w:rPr>
                <w:b/>
                <w:sz w:val="16"/>
              </w:rPr>
              <w:t>,404</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21"/>
              <w:ind w:left="73" w:right="144"/>
              <w:jc w:val="center"/>
              <w:rPr>
                <w:b/>
                <w:sz w:val="16"/>
              </w:rPr>
            </w:pPr>
            <w:r>
              <w:rPr>
                <w:b/>
                <w:sz w:val="16"/>
              </w:rPr>
              <w:t>,001**</w:t>
            </w:r>
          </w:p>
        </w:tc>
        <w:tc>
          <w:tcPr>
            <w:tcW w:w="604"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664"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tc>
        <w:tc>
          <w:tcPr>
            <w:tcW w:w="508" w:type="dxa"/>
            <w:tcBorders>
              <w:top w:val="single" w:sz="4" w:space="0" w:color="000000"/>
              <w:left w:val="single" w:sz="4" w:space="0" w:color="000000"/>
              <w:bottom w:val="nil"/>
            </w:tcBorders>
          </w:tcPr>
          <w:p w:rsidR="00C94252" w:rsidRDefault="00C94252">
            <w:pPr>
              <w:pStyle w:val="TableParagraph"/>
              <w:rPr>
                <w:sz w:val="18"/>
              </w:rPr>
            </w:pPr>
          </w:p>
        </w:tc>
      </w:tr>
      <w:tr w:rsidR="00C94252">
        <w:trPr>
          <w:trHeight w:val="657"/>
        </w:trPr>
        <w:tc>
          <w:tcPr>
            <w:tcW w:w="1416" w:type="dxa"/>
            <w:tcBorders>
              <w:top w:val="nil"/>
              <w:bottom w:val="nil"/>
              <w:right w:val="single" w:sz="4" w:space="0" w:color="000000"/>
            </w:tcBorders>
          </w:tcPr>
          <w:p w:rsidR="00C94252" w:rsidRDefault="00C94252">
            <w:pPr>
              <w:pStyle w:val="TableParagraph"/>
              <w:rPr>
                <w:sz w:val="18"/>
              </w:rPr>
            </w:pPr>
          </w:p>
        </w:tc>
        <w:tc>
          <w:tcPr>
            <w:tcW w:w="1459" w:type="dxa"/>
            <w:tcBorders>
              <w:top w:val="nil"/>
              <w:left w:val="single" w:sz="4" w:space="0" w:color="000000"/>
              <w:bottom w:val="nil"/>
              <w:right w:val="single" w:sz="4" w:space="0" w:color="000000"/>
            </w:tcBorders>
          </w:tcPr>
          <w:p w:rsidR="00C94252" w:rsidRDefault="00A33443">
            <w:pPr>
              <w:pStyle w:val="TableParagraph"/>
              <w:spacing w:before="87" w:line="276" w:lineRule="auto"/>
              <w:ind w:left="86" w:right="183"/>
              <w:rPr>
                <w:sz w:val="18"/>
              </w:rPr>
            </w:pPr>
            <w:r>
              <w:rPr>
                <w:sz w:val="18"/>
              </w:rPr>
              <w:t>Communication time (Q20)</w:t>
            </w:r>
          </w:p>
        </w:tc>
        <w:tc>
          <w:tcPr>
            <w:tcW w:w="552" w:type="dxa"/>
            <w:tcBorders>
              <w:top w:val="nil"/>
              <w:left w:val="single" w:sz="4" w:space="0" w:color="000000"/>
              <w:bottom w:val="nil"/>
              <w:right w:val="single" w:sz="4" w:space="0" w:color="000000"/>
            </w:tcBorders>
          </w:tcPr>
          <w:p w:rsidR="00C94252" w:rsidRDefault="00C94252">
            <w:pPr>
              <w:pStyle w:val="TableParagraph"/>
              <w:rPr>
                <w:sz w:val="18"/>
              </w:rPr>
            </w:pPr>
          </w:p>
        </w:tc>
        <w:tc>
          <w:tcPr>
            <w:tcW w:w="605" w:type="dxa"/>
            <w:tcBorders>
              <w:top w:val="nil"/>
              <w:left w:val="single" w:sz="4" w:space="0" w:color="000000"/>
              <w:bottom w:val="nil"/>
              <w:right w:val="single" w:sz="4" w:space="0" w:color="000000"/>
            </w:tcBorders>
          </w:tcPr>
          <w:p w:rsidR="00C94252" w:rsidRDefault="00C94252">
            <w:pPr>
              <w:pStyle w:val="TableParagraph"/>
              <w:rPr>
                <w:sz w:val="18"/>
              </w:rPr>
            </w:pPr>
          </w:p>
        </w:tc>
        <w:tc>
          <w:tcPr>
            <w:tcW w:w="549" w:type="dxa"/>
            <w:tcBorders>
              <w:top w:val="nil"/>
              <w:left w:val="single" w:sz="4" w:space="0" w:color="000000"/>
              <w:bottom w:val="nil"/>
              <w:right w:val="single" w:sz="4" w:space="0" w:color="000000"/>
            </w:tcBorders>
          </w:tcPr>
          <w:p w:rsidR="00C94252" w:rsidRDefault="00C94252">
            <w:pPr>
              <w:pStyle w:val="TableParagraph"/>
              <w:rPr>
                <w:sz w:val="18"/>
              </w:rPr>
            </w:pPr>
          </w:p>
        </w:tc>
        <w:tc>
          <w:tcPr>
            <w:tcW w:w="741" w:type="dxa"/>
            <w:tcBorders>
              <w:top w:val="nil"/>
              <w:left w:val="single" w:sz="4" w:space="0" w:color="000000"/>
              <w:bottom w:val="nil"/>
              <w:right w:val="single" w:sz="4" w:space="0" w:color="000000"/>
            </w:tcBorders>
          </w:tcPr>
          <w:p w:rsidR="00C94252" w:rsidRDefault="00C94252">
            <w:pPr>
              <w:pStyle w:val="TableParagraph"/>
              <w:rPr>
                <w:sz w:val="18"/>
              </w:rPr>
            </w:pPr>
          </w:p>
        </w:tc>
        <w:tc>
          <w:tcPr>
            <w:tcW w:w="518"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6"/>
              <w:ind w:left="68" w:right="65"/>
              <w:jc w:val="center"/>
              <w:rPr>
                <w:sz w:val="16"/>
              </w:rPr>
            </w:pPr>
            <w:r>
              <w:rPr>
                <w:sz w:val="16"/>
              </w:rPr>
              <w:t>-,238</w:t>
            </w:r>
          </w:p>
        </w:tc>
        <w:tc>
          <w:tcPr>
            <w:tcW w:w="708"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6"/>
              <w:ind w:right="325"/>
              <w:jc w:val="right"/>
              <w:rPr>
                <w:sz w:val="16"/>
              </w:rPr>
            </w:pPr>
            <w:r>
              <w:rPr>
                <w:sz w:val="16"/>
              </w:rPr>
              <w:t>,050</w:t>
            </w:r>
          </w:p>
        </w:tc>
        <w:tc>
          <w:tcPr>
            <w:tcW w:w="552"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8"/>
              <w:ind w:left="86"/>
              <w:rPr>
                <w:b/>
                <w:sz w:val="16"/>
              </w:rPr>
            </w:pPr>
            <w:r>
              <w:rPr>
                <w:b/>
                <w:sz w:val="16"/>
              </w:rPr>
              <w:t>-,306</w:t>
            </w:r>
          </w:p>
        </w:tc>
        <w:tc>
          <w:tcPr>
            <w:tcW w:w="706"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8"/>
              <w:ind w:left="86"/>
              <w:rPr>
                <w:b/>
                <w:sz w:val="16"/>
              </w:rPr>
            </w:pPr>
            <w:r>
              <w:rPr>
                <w:b/>
                <w:sz w:val="16"/>
              </w:rPr>
              <w:t>,013*</w:t>
            </w:r>
          </w:p>
        </w:tc>
        <w:tc>
          <w:tcPr>
            <w:tcW w:w="547" w:type="dxa"/>
            <w:tcBorders>
              <w:top w:val="nil"/>
              <w:left w:val="single" w:sz="4" w:space="0" w:color="000000"/>
              <w:bottom w:val="nil"/>
              <w:right w:val="single" w:sz="4" w:space="0" w:color="000000"/>
            </w:tcBorders>
          </w:tcPr>
          <w:p w:rsidR="00C94252" w:rsidRDefault="00C94252">
            <w:pPr>
              <w:pStyle w:val="TableParagraph"/>
              <w:rPr>
                <w:sz w:val="18"/>
              </w:rPr>
            </w:pPr>
          </w:p>
        </w:tc>
        <w:tc>
          <w:tcPr>
            <w:tcW w:w="710" w:type="dxa"/>
            <w:tcBorders>
              <w:top w:val="nil"/>
              <w:left w:val="single" w:sz="4" w:space="0" w:color="000000"/>
              <w:bottom w:val="nil"/>
              <w:right w:val="single" w:sz="4" w:space="0" w:color="000000"/>
            </w:tcBorders>
          </w:tcPr>
          <w:p w:rsidR="00C94252" w:rsidRDefault="00C94252">
            <w:pPr>
              <w:pStyle w:val="TableParagraph"/>
              <w:rPr>
                <w:sz w:val="18"/>
              </w:rPr>
            </w:pPr>
          </w:p>
        </w:tc>
        <w:tc>
          <w:tcPr>
            <w:tcW w:w="520" w:type="dxa"/>
            <w:tcBorders>
              <w:top w:val="nil"/>
              <w:left w:val="single" w:sz="4" w:space="0" w:color="000000"/>
              <w:bottom w:val="nil"/>
              <w:right w:val="single" w:sz="4" w:space="0" w:color="000000"/>
            </w:tcBorders>
          </w:tcPr>
          <w:p w:rsidR="00C94252" w:rsidRDefault="00C94252">
            <w:pPr>
              <w:pStyle w:val="TableParagraph"/>
              <w:rPr>
                <w:sz w:val="18"/>
              </w:rPr>
            </w:pPr>
          </w:p>
        </w:tc>
        <w:tc>
          <w:tcPr>
            <w:tcW w:w="707" w:type="dxa"/>
            <w:tcBorders>
              <w:top w:val="nil"/>
              <w:left w:val="single" w:sz="4" w:space="0" w:color="000000"/>
              <w:bottom w:val="nil"/>
              <w:right w:val="single" w:sz="4" w:space="0" w:color="000000"/>
            </w:tcBorders>
          </w:tcPr>
          <w:p w:rsidR="00C94252" w:rsidRDefault="00C94252">
            <w:pPr>
              <w:pStyle w:val="TableParagraph"/>
              <w:rPr>
                <w:sz w:val="18"/>
              </w:rPr>
            </w:pPr>
          </w:p>
        </w:tc>
        <w:tc>
          <w:tcPr>
            <w:tcW w:w="515" w:type="dxa"/>
            <w:tcBorders>
              <w:top w:val="nil"/>
              <w:left w:val="single" w:sz="4" w:space="0" w:color="000000"/>
              <w:bottom w:val="nil"/>
              <w:right w:val="single" w:sz="4" w:space="0" w:color="000000"/>
            </w:tcBorders>
          </w:tcPr>
          <w:p w:rsidR="00C94252" w:rsidRDefault="00C94252">
            <w:pPr>
              <w:pStyle w:val="TableParagraph"/>
              <w:rPr>
                <w:sz w:val="18"/>
              </w:rPr>
            </w:pPr>
          </w:p>
        </w:tc>
        <w:tc>
          <w:tcPr>
            <w:tcW w:w="708" w:type="dxa"/>
            <w:tcBorders>
              <w:top w:val="nil"/>
              <w:left w:val="single" w:sz="4" w:space="0" w:color="000000"/>
              <w:bottom w:val="nil"/>
              <w:right w:val="single" w:sz="4" w:space="0" w:color="000000"/>
            </w:tcBorders>
          </w:tcPr>
          <w:p w:rsidR="00C94252" w:rsidRDefault="00C94252">
            <w:pPr>
              <w:pStyle w:val="TableParagraph"/>
              <w:rPr>
                <w:sz w:val="18"/>
              </w:rPr>
            </w:pPr>
          </w:p>
        </w:tc>
        <w:tc>
          <w:tcPr>
            <w:tcW w:w="604"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8"/>
              <w:ind w:right="164"/>
              <w:jc w:val="right"/>
              <w:rPr>
                <w:b/>
                <w:sz w:val="16"/>
              </w:rPr>
            </w:pPr>
            <w:r>
              <w:rPr>
                <w:b/>
                <w:sz w:val="16"/>
              </w:rPr>
              <w:t>-,289</w:t>
            </w:r>
          </w:p>
        </w:tc>
        <w:tc>
          <w:tcPr>
            <w:tcW w:w="664" w:type="dxa"/>
            <w:tcBorders>
              <w:top w:val="nil"/>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48"/>
              <w:ind w:right="197"/>
              <w:jc w:val="right"/>
              <w:rPr>
                <w:b/>
                <w:sz w:val="16"/>
              </w:rPr>
            </w:pPr>
            <w:r>
              <w:rPr>
                <w:b/>
                <w:sz w:val="16"/>
              </w:rPr>
              <w:t>,043*</w:t>
            </w:r>
          </w:p>
        </w:tc>
        <w:tc>
          <w:tcPr>
            <w:tcW w:w="520" w:type="dxa"/>
            <w:tcBorders>
              <w:top w:val="nil"/>
              <w:left w:val="single" w:sz="4" w:space="0" w:color="000000"/>
              <w:bottom w:val="nil"/>
              <w:right w:val="single" w:sz="4" w:space="0" w:color="000000"/>
            </w:tcBorders>
          </w:tcPr>
          <w:p w:rsidR="00C94252" w:rsidRDefault="00C94252">
            <w:pPr>
              <w:pStyle w:val="TableParagraph"/>
              <w:rPr>
                <w:sz w:val="18"/>
              </w:rPr>
            </w:pPr>
          </w:p>
        </w:tc>
        <w:tc>
          <w:tcPr>
            <w:tcW w:w="508" w:type="dxa"/>
            <w:tcBorders>
              <w:top w:val="nil"/>
              <w:left w:val="single" w:sz="4" w:space="0" w:color="000000"/>
              <w:bottom w:val="nil"/>
            </w:tcBorders>
          </w:tcPr>
          <w:p w:rsidR="00C94252" w:rsidRDefault="00C94252">
            <w:pPr>
              <w:pStyle w:val="TableParagraph"/>
              <w:rPr>
                <w:sz w:val="18"/>
              </w:rPr>
            </w:pPr>
          </w:p>
        </w:tc>
      </w:tr>
    </w:tbl>
    <w:p w:rsidR="00C94252" w:rsidRDefault="00C94252">
      <w:pPr>
        <w:rPr>
          <w:sz w:val="18"/>
        </w:rPr>
        <w:sectPr w:rsidR="00C94252">
          <w:footerReference w:type="default" r:id="rId27"/>
          <w:pgSz w:w="16850" w:h="11900" w:orient="landscape"/>
          <w:pgMar w:top="1100" w:right="1300" w:bottom="860" w:left="1300" w:header="0" w:footer="671" w:gutter="0"/>
          <w:pgNumType w:start="19"/>
          <w:cols w:space="708"/>
        </w:sectPr>
      </w:pPr>
    </w:p>
    <w:p w:rsidR="00C94252" w:rsidRDefault="00C94252">
      <w:pPr>
        <w:pStyle w:val="Brdtekst"/>
        <w:spacing w:before="9"/>
        <w:rPr>
          <w:sz w:val="25"/>
        </w:rPr>
      </w:pPr>
    </w:p>
    <w:tbl>
      <w:tblPr>
        <w:tblStyle w:val="TableNormal"/>
        <w:tblW w:w="0" w:type="auto"/>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6"/>
        <w:gridCol w:w="1459"/>
        <w:gridCol w:w="552"/>
        <w:gridCol w:w="605"/>
        <w:gridCol w:w="549"/>
        <w:gridCol w:w="741"/>
        <w:gridCol w:w="518"/>
        <w:gridCol w:w="708"/>
        <w:gridCol w:w="552"/>
        <w:gridCol w:w="706"/>
        <w:gridCol w:w="547"/>
        <w:gridCol w:w="710"/>
        <w:gridCol w:w="520"/>
        <w:gridCol w:w="707"/>
        <w:gridCol w:w="515"/>
        <w:gridCol w:w="708"/>
        <w:gridCol w:w="604"/>
        <w:gridCol w:w="664"/>
        <w:gridCol w:w="520"/>
        <w:gridCol w:w="508"/>
      </w:tblGrid>
      <w:tr w:rsidR="00C94252">
        <w:trPr>
          <w:trHeight w:val="1051"/>
        </w:trPr>
        <w:tc>
          <w:tcPr>
            <w:tcW w:w="1416" w:type="dxa"/>
            <w:vMerge w:val="restart"/>
            <w:tcBorders>
              <w:bottom w:val="nil"/>
              <w:right w:val="single" w:sz="4" w:space="0" w:color="000000"/>
            </w:tcBorders>
          </w:tcPr>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A33443">
            <w:pPr>
              <w:pStyle w:val="TableParagraph"/>
              <w:spacing w:before="173" w:line="278" w:lineRule="auto"/>
              <w:ind w:left="408" w:right="246" w:hanging="128"/>
              <w:rPr>
                <w:i/>
                <w:sz w:val="18"/>
              </w:rPr>
            </w:pPr>
            <w:r>
              <w:rPr>
                <w:i/>
                <w:sz w:val="18"/>
              </w:rPr>
              <w:t>Category of variable</w:t>
            </w:r>
          </w:p>
        </w:tc>
        <w:tc>
          <w:tcPr>
            <w:tcW w:w="1459" w:type="dxa"/>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75"/>
              <w:ind w:left="93" w:right="71"/>
              <w:jc w:val="center"/>
              <w:rPr>
                <w:i/>
                <w:sz w:val="18"/>
              </w:rPr>
            </w:pPr>
            <w:r>
              <w:rPr>
                <w:i/>
                <w:sz w:val="18"/>
              </w:rPr>
              <w:t>Resistance factor</w:t>
            </w:r>
          </w:p>
        </w:tc>
        <w:tc>
          <w:tcPr>
            <w:tcW w:w="115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80"/>
              <w:ind w:left="91"/>
              <w:rPr>
                <w:b/>
                <w:i/>
                <w:sz w:val="18"/>
              </w:rPr>
            </w:pPr>
            <w:r>
              <w:rPr>
                <w:b/>
                <w:i/>
                <w:sz w:val="18"/>
              </w:rPr>
              <w:t>Social justice</w:t>
            </w:r>
          </w:p>
        </w:tc>
        <w:tc>
          <w:tcPr>
            <w:tcW w:w="1290"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147" w:right="102" w:firstLine="19"/>
              <w:rPr>
                <w:b/>
                <w:i/>
                <w:sz w:val="18"/>
              </w:rPr>
            </w:pPr>
            <w:r>
              <w:rPr>
                <w:b/>
                <w:i/>
                <w:sz w:val="18"/>
              </w:rPr>
              <w:t>Participation inappropriate</w:t>
            </w:r>
          </w:p>
        </w:tc>
        <w:tc>
          <w:tcPr>
            <w:tcW w:w="1226"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80"/>
              <w:ind w:left="162"/>
              <w:rPr>
                <w:b/>
                <w:i/>
                <w:sz w:val="18"/>
              </w:rPr>
            </w:pPr>
            <w:r>
              <w:rPr>
                <w:b/>
                <w:i/>
                <w:sz w:val="18"/>
              </w:rPr>
              <w:t>Local image</w:t>
            </w:r>
          </w:p>
        </w:tc>
        <w:tc>
          <w:tcPr>
            <w:tcW w:w="1258"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80"/>
              <w:ind w:left="235"/>
              <w:rPr>
                <w:b/>
                <w:i/>
                <w:sz w:val="18"/>
              </w:rPr>
            </w:pPr>
            <w:r>
              <w:rPr>
                <w:b/>
                <w:i/>
                <w:sz w:val="18"/>
              </w:rPr>
              <w:t>Landscape</w:t>
            </w:r>
          </w:p>
        </w:tc>
        <w:tc>
          <w:tcPr>
            <w:tcW w:w="125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80"/>
              <w:ind w:left="144"/>
              <w:rPr>
                <w:b/>
                <w:i/>
                <w:sz w:val="18"/>
              </w:rPr>
            </w:pPr>
            <w:r>
              <w:rPr>
                <w:b/>
                <w:i/>
                <w:sz w:val="18"/>
              </w:rPr>
              <w:t>Environment</w:t>
            </w:r>
          </w:p>
        </w:tc>
        <w:tc>
          <w:tcPr>
            <w:tcW w:w="1227" w:type="dxa"/>
            <w:gridSpan w:val="2"/>
            <w:tcBorders>
              <w:left w:val="single" w:sz="4" w:space="0" w:color="000000"/>
              <w:bottom w:val="single" w:sz="6" w:space="0" w:color="000000"/>
              <w:right w:val="single" w:sz="4" w:space="0" w:color="000000"/>
            </w:tcBorders>
          </w:tcPr>
          <w:p w:rsidR="00C94252" w:rsidRDefault="00C94252">
            <w:pPr>
              <w:pStyle w:val="TableParagraph"/>
              <w:rPr>
                <w:sz w:val="20"/>
              </w:rPr>
            </w:pPr>
          </w:p>
          <w:p w:rsidR="00C94252" w:rsidRDefault="00A33443">
            <w:pPr>
              <w:pStyle w:val="TableParagraph"/>
              <w:spacing w:before="180"/>
              <w:ind w:left="322"/>
              <w:rPr>
                <w:b/>
                <w:i/>
                <w:sz w:val="18"/>
              </w:rPr>
            </w:pPr>
            <w:r>
              <w:rPr>
                <w:b/>
                <w:i/>
                <w:sz w:val="18"/>
              </w:rPr>
              <w:t>Conflict</w:t>
            </w:r>
          </w:p>
        </w:tc>
        <w:tc>
          <w:tcPr>
            <w:tcW w:w="1223"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271" w:right="222" w:firstLine="24"/>
              <w:rPr>
                <w:b/>
                <w:i/>
                <w:sz w:val="18"/>
              </w:rPr>
            </w:pPr>
            <w:r>
              <w:rPr>
                <w:b/>
                <w:i/>
                <w:sz w:val="18"/>
              </w:rPr>
              <w:t>External influence</w:t>
            </w:r>
          </w:p>
        </w:tc>
        <w:tc>
          <w:tcPr>
            <w:tcW w:w="1268" w:type="dxa"/>
            <w:gridSpan w:val="2"/>
            <w:tcBorders>
              <w:left w:val="single" w:sz="4" w:space="0" w:color="000000"/>
              <w:bottom w:val="single" w:sz="6" w:space="0" w:color="000000"/>
              <w:right w:val="single" w:sz="4" w:space="0" w:color="000000"/>
            </w:tcBorders>
          </w:tcPr>
          <w:p w:rsidR="00C94252" w:rsidRDefault="00C94252">
            <w:pPr>
              <w:pStyle w:val="TableParagraph"/>
              <w:spacing w:before="2"/>
              <w:rPr>
                <w:sz w:val="25"/>
              </w:rPr>
            </w:pPr>
          </w:p>
          <w:p w:rsidR="00C94252" w:rsidRDefault="00A33443">
            <w:pPr>
              <w:pStyle w:val="TableParagraph"/>
              <w:spacing w:line="276" w:lineRule="auto"/>
              <w:ind w:left="150" w:right="98" w:firstLine="213"/>
              <w:rPr>
                <w:b/>
                <w:i/>
                <w:sz w:val="18"/>
              </w:rPr>
            </w:pPr>
            <w:r>
              <w:rPr>
                <w:b/>
                <w:i/>
                <w:sz w:val="18"/>
              </w:rPr>
              <w:t xml:space="preserve">Lack of </w:t>
            </w:r>
            <w:r>
              <w:rPr>
                <w:b/>
                <w:i/>
                <w:sz w:val="18"/>
              </w:rPr>
              <w:t>identification</w:t>
            </w:r>
          </w:p>
        </w:tc>
        <w:tc>
          <w:tcPr>
            <w:tcW w:w="1028" w:type="dxa"/>
            <w:gridSpan w:val="2"/>
            <w:tcBorders>
              <w:left w:val="single" w:sz="4" w:space="0" w:color="000000"/>
              <w:bottom w:val="single" w:sz="6" w:space="0" w:color="000000"/>
            </w:tcBorders>
          </w:tcPr>
          <w:p w:rsidR="00C94252" w:rsidRDefault="00C94252">
            <w:pPr>
              <w:pStyle w:val="TableParagraph"/>
              <w:rPr>
                <w:sz w:val="20"/>
              </w:rPr>
            </w:pPr>
          </w:p>
          <w:p w:rsidR="00C94252" w:rsidRDefault="00A33443">
            <w:pPr>
              <w:pStyle w:val="TableParagraph"/>
              <w:spacing w:before="180"/>
              <w:ind w:left="327"/>
              <w:rPr>
                <w:b/>
                <w:i/>
                <w:sz w:val="18"/>
              </w:rPr>
            </w:pPr>
            <w:r>
              <w:rPr>
                <w:b/>
                <w:i/>
                <w:sz w:val="18"/>
              </w:rPr>
              <w:t>Trust</w:t>
            </w:r>
          </w:p>
        </w:tc>
      </w:tr>
      <w:tr w:rsidR="00C94252">
        <w:trPr>
          <w:trHeight w:val="583"/>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67"/>
              <w:ind w:left="93" w:right="68"/>
              <w:jc w:val="center"/>
              <w:rPr>
                <w:i/>
                <w:sz w:val="12"/>
              </w:rPr>
            </w:pPr>
            <w:r>
              <w:rPr>
                <w:i/>
                <w:sz w:val="18"/>
              </w:rPr>
              <w:t>Adjusted r</w:t>
            </w:r>
            <w:r>
              <w:rPr>
                <w:i/>
                <w:position w:val="6"/>
                <w:sz w:val="12"/>
              </w:rPr>
              <w:t>2</w:t>
            </w:r>
          </w:p>
        </w:tc>
        <w:tc>
          <w:tcPr>
            <w:tcW w:w="115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382"/>
              <w:rPr>
                <w:b/>
                <w:i/>
                <w:sz w:val="18"/>
              </w:rPr>
            </w:pPr>
            <w:r>
              <w:rPr>
                <w:b/>
                <w:i/>
                <w:sz w:val="18"/>
              </w:rPr>
              <w:t>0,175</w:t>
            </w:r>
          </w:p>
        </w:tc>
        <w:tc>
          <w:tcPr>
            <w:tcW w:w="1290"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49"/>
              <w:rPr>
                <w:b/>
                <w:i/>
                <w:sz w:val="18"/>
              </w:rPr>
            </w:pPr>
            <w:r>
              <w:rPr>
                <w:b/>
                <w:i/>
                <w:sz w:val="18"/>
              </w:rPr>
              <w:t>0,362</w:t>
            </w:r>
          </w:p>
        </w:tc>
        <w:tc>
          <w:tcPr>
            <w:tcW w:w="1226"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17"/>
              <w:rPr>
                <w:b/>
                <w:i/>
                <w:sz w:val="18"/>
              </w:rPr>
            </w:pPr>
            <w:r>
              <w:rPr>
                <w:b/>
                <w:i/>
                <w:sz w:val="18"/>
              </w:rPr>
              <w:t>0,206</w:t>
            </w:r>
          </w:p>
        </w:tc>
        <w:tc>
          <w:tcPr>
            <w:tcW w:w="1258"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32"/>
              <w:rPr>
                <w:b/>
                <w:i/>
                <w:sz w:val="18"/>
              </w:rPr>
            </w:pPr>
            <w:r>
              <w:rPr>
                <w:b/>
                <w:i/>
                <w:sz w:val="18"/>
              </w:rPr>
              <w:t>0,523</w:t>
            </w:r>
          </w:p>
        </w:tc>
        <w:tc>
          <w:tcPr>
            <w:tcW w:w="125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32"/>
              <w:rPr>
                <w:b/>
                <w:i/>
                <w:sz w:val="18"/>
              </w:rPr>
            </w:pPr>
            <w:r>
              <w:rPr>
                <w:b/>
                <w:i/>
                <w:sz w:val="18"/>
              </w:rPr>
              <w:t>0,250</w:t>
            </w:r>
          </w:p>
        </w:tc>
        <w:tc>
          <w:tcPr>
            <w:tcW w:w="1227"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20"/>
              <w:rPr>
                <w:b/>
                <w:i/>
                <w:sz w:val="18"/>
              </w:rPr>
            </w:pPr>
            <w:r>
              <w:rPr>
                <w:b/>
                <w:i/>
                <w:sz w:val="18"/>
              </w:rPr>
              <w:t>0,498</w:t>
            </w:r>
          </w:p>
        </w:tc>
        <w:tc>
          <w:tcPr>
            <w:tcW w:w="1223"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17"/>
              <w:rPr>
                <w:b/>
                <w:i/>
                <w:sz w:val="18"/>
              </w:rPr>
            </w:pPr>
            <w:r>
              <w:rPr>
                <w:b/>
                <w:i/>
                <w:sz w:val="18"/>
              </w:rPr>
              <w:t>0,368</w:t>
            </w:r>
          </w:p>
        </w:tc>
        <w:tc>
          <w:tcPr>
            <w:tcW w:w="1268" w:type="dxa"/>
            <w:gridSpan w:val="2"/>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176"/>
              <w:ind w:left="443"/>
              <w:rPr>
                <w:b/>
                <w:i/>
                <w:sz w:val="18"/>
              </w:rPr>
            </w:pPr>
            <w:r>
              <w:rPr>
                <w:b/>
                <w:i/>
                <w:sz w:val="18"/>
              </w:rPr>
              <w:t>0,148</w:t>
            </w:r>
          </w:p>
        </w:tc>
        <w:tc>
          <w:tcPr>
            <w:tcW w:w="1028" w:type="dxa"/>
            <w:gridSpan w:val="2"/>
            <w:tcBorders>
              <w:top w:val="single" w:sz="6" w:space="0" w:color="000000"/>
              <w:left w:val="single" w:sz="4" w:space="0" w:color="000000"/>
              <w:bottom w:val="single" w:sz="4" w:space="0" w:color="000000"/>
            </w:tcBorders>
          </w:tcPr>
          <w:p w:rsidR="00C94252" w:rsidRDefault="00A33443">
            <w:pPr>
              <w:pStyle w:val="TableParagraph"/>
              <w:spacing w:before="176"/>
              <w:ind w:left="324"/>
              <w:rPr>
                <w:b/>
                <w:i/>
                <w:sz w:val="18"/>
              </w:rPr>
            </w:pPr>
            <w:r>
              <w:rPr>
                <w:b/>
                <w:i/>
                <w:sz w:val="18"/>
              </w:rPr>
              <w:t>0,049</w:t>
            </w:r>
          </w:p>
        </w:tc>
      </w:tr>
      <w:tr w:rsidR="00C94252">
        <w:trPr>
          <w:trHeight w:val="557"/>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nil"/>
              <w:right w:val="single" w:sz="4" w:space="0" w:color="000000"/>
            </w:tcBorders>
          </w:tcPr>
          <w:p w:rsidR="00C94252" w:rsidRDefault="00A33443">
            <w:pPr>
              <w:pStyle w:val="TableParagraph"/>
              <w:spacing w:before="153"/>
              <w:ind w:left="93" w:right="66"/>
              <w:jc w:val="center"/>
              <w:rPr>
                <w:i/>
                <w:sz w:val="18"/>
              </w:rPr>
            </w:pPr>
            <w:r>
              <w:rPr>
                <w:i/>
                <w:sz w:val="18"/>
              </w:rPr>
              <w:t>Variable</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34"/>
              <w:rPr>
                <w:i/>
                <w:sz w:val="16"/>
              </w:rPr>
            </w:pPr>
            <w:r>
              <w:rPr>
                <w:i/>
                <w:sz w:val="16"/>
              </w:rPr>
              <w:t>Beta</w:t>
            </w:r>
          </w:p>
        </w:tc>
        <w:tc>
          <w:tcPr>
            <w:tcW w:w="605"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229" w:right="206"/>
              <w:jc w:val="center"/>
              <w:rPr>
                <w:i/>
                <w:sz w:val="16"/>
              </w:rPr>
            </w:pPr>
            <w:r>
              <w:rPr>
                <w:i/>
                <w:sz w:val="16"/>
              </w:rPr>
              <w:t>p.</w:t>
            </w:r>
          </w:p>
        </w:tc>
        <w:tc>
          <w:tcPr>
            <w:tcW w:w="549"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35"/>
              <w:rPr>
                <w:i/>
                <w:sz w:val="16"/>
              </w:rPr>
            </w:pPr>
            <w:r>
              <w:rPr>
                <w:i/>
                <w:sz w:val="16"/>
              </w:rPr>
              <w:t>Beta</w:t>
            </w:r>
          </w:p>
        </w:tc>
        <w:tc>
          <w:tcPr>
            <w:tcW w:w="741"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297" w:right="274"/>
              <w:jc w:val="center"/>
              <w:rPr>
                <w:i/>
                <w:sz w:val="16"/>
              </w:rPr>
            </w:pPr>
            <w:r>
              <w:rPr>
                <w:i/>
                <w:sz w:val="16"/>
              </w:rPr>
              <w:t>p.</w:t>
            </w:r>
          </w:p>
        </w:tc>
        <w:tc>
          <w:tcPr>
            <w:tcW w:w="51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19"/>
              <w:rPr>
                <w:i/>
                <w:sz w:val="16"/>
              </w:rPr>
            </w:pPr>
            <w:r>
              <w:rPr>
                <w:i/>
                <w:sz w:val="16"/>
              </w:rPr>
              <w:t>Beta</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73" w:right="44"/>
              <w:jc w:val="center"/>
              <w:rPr>
                <w:i/>
                <w:sz w:val="16"/>
              </w:rPr>
            </w:pPr>
            <w:r>
              <w:rPr>
                <w:i/>
                <w:sz w:val="16"/>
              </w:rPr>
              <w:t>p.</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34"/>
              <w:rPr>
                <w:i/>
                <w:sz w:val="16"/>
              </w:rPr>
            </w:pPr>
            <w:r>
              <w:rPr>
                <w:i/>
                <w:sz w:val="16"/>
              </w:rPr>
              <w:t>Beta</w:t>
            </w:r>
          </w:p>
        </w:tc>
        <w:tc>
          <w:tcPr>
            <w:tcW w:w="706"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281" w:right="254"/>
              <w:jc w:val="center"/>
              <w:rPr>
                <w:i/>
                <w:sz w:val="16"/>
              </w:rPr>
            </w:pPr>
            <w:r>
              <w:rPr>
                <w:i/>
                <w:sz w:val="16"/>
              </w:rPr>
              <w:t>p.</w:t>
            </w:r>
          </w:p>
        </w:tc>
        <w:tc>
          <w:tcPr>
            <w:tcW w:w="547"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34"/>
              <w:rPr>
                <w:i/>
                <w:sz w:val="16"/>
              </w:rPr>
            </w:pPr>
            <w:r>
              <w:rPr>
                <w:i/>
                <w:sz w:val="16"/>
              </w:rPr>
              <w:t>Beta</w:t>
            </w:r>
          </w:p>
        </w:tc>
        <w:tc>
          <w:tcPr>
            <w:tcW w:w="71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284" w:right="256"/>
              <w:jc w:val="center"/>
              <w:rPr>
                <w:i/>
                <w:sz w:val="16"/>
              </w:rPr>
            </w:pPr>
            <w:r>
              <w:rPr>
                <w:i/>
                <w:sz w:val="16"/>
              </w:rPr>
              <w:t>p.</w:t>
            </w: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69" w:right="40"/>
              <w:jc w:val="center"/>
              <w:rPr>
                <w:i/>
                <w:sz w:val="16"/>
              </w:rPr>
            </w:pPr>
            <w:r>
              <w:rPr>
                <w:i/>
                <w:sz w:val="16"/>
              </w:rPr>
              <w:t>Beta</w:t>
            </w:r>
          </w:p>
        </w:tc>
        <w:tc>
          <w:tcPr>
            <w:tcW w:w="707"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71" w:right="38"/>
              <w:jc w:val="center"/>
              <w:rPr>
                <w:i/>
                <w:sz w:val="16"/>
              </w:rPr>
            </w:pPr>
            <w:r>
              <w:rPr>
                <w:i/>
                <w:sz w:val="16"/>
              </w:rPr>
              <w:t>p.</w:t>
            </w:r>
          </w:p>
        </w:tc>
        <w:tc>
          <w:tcPr>
            <w:tcW w:w="515"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20"/>
              <w:rPr>
                <w:i/>
                <w:sz w:val="16"/>
              </w:rPr>
            </w:pPr>
            <w:r>
              <w:rPr>
                <w:i/>
                <w:sz w:val="16"/>
              </w:rPr>
              <w:t>Beta</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right="267"/>
              <w:jc w:val="right"/>
              <w:rPr>
                <w:i/>
                <w:sz w:val="16"/>
              </w:rPr>
            </w:pPr>
            <w:r>
              <w:rPr>
                <w:i/>
                <w:sz w:val="16"/>
              </w:rPr>
              <w:t>p.</w:t>
            </w:r>
          </w:p>
        </w:tc>
        <w:tc>
          <w:tcPr>
            <w:tcW w:w="604"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right="130"/>
              <w:jc w:val="right"/>
              <w:rPr>
                <w:i/>
                <w:sz w:val="16"/>
              </w:rPr>
            </w:pPr>
            <w:r>
              <w:rPr>
                <w:i/>
                <w:sz w:val="16"/>
              </w:rPr>
              <w:t>Beta</w:t>
            </w:r>
          </w:p>
        </w:tc>
        <w:tc>
          <w:tcPr>
            <w:tcW w:w="664"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267" w:right="227"/>
              <w:jc w:val="center"/>
              <w:rPr>
                <w:i/>
                <w:sz w:val="16"/>
              </w:rPr>
            </w:pPr>
            <w:r>
              <w:rPr>
                <w:i/>
                <w:sz w:val="16"/>
              </w:rPr>
              <w:t>p.</w:t>
            </w: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spacing w:before="6"/>
              <w:rPr>
                <w:sz w:val="14"/>
              </w:rPr>
            </w:pPr>
          </w:p>
          <w:p w:rsidR="00C94252" w:rsidRDefault="00A33443">
            <w:pPr>
              <w:pStyle w:val="TableParagraph"/>
              <w:ind w:left="125"/>
              <w:rPr>
                <w:i/>
                <w:sz w:val="16"/>
              </w:rPr>
            </w:pPr>
            <w:r>
              <w:rPr>
                <w:i/>
                <w:sz w:val="16"/>
              </w:rPr>
              <w:t>Beta</w:t>
            </w:r>
          </w:p>
        </w:tc>
        <w:tc>
          <w:tcPr>
            <w:tcW w:w="508" w:type="dxa"/>
            <w:tcBorders>
              <w:top w:val="single" w:sz="4" w:space="0" w:color="000000"/>
              <w:left w:val="single" w:sz="4" w:space="0" w:color="000000"/>
              <w:bottom w:val="nil"/>
            </w:tcBorders>
          </w:tcPr>
          <w:p w:rsidR="00C94252" w:rsidRDefault="00C94252">
            <w:pPr>
              <w:pStyle w:val="TableParagraph"/>
              <w:spacing w:before="6"/>
              <w:rPr>
                <w:sz w:val="14"/>
              </w:rPr>
            </w:pPr>
          </w:p>
          <w:p w:rsidR="00C94252" w:rsidRDefault="00A33443">
            <w:pPr>
              <w:pStyle w:val="TableParagraph"/>
              <w:ind w:right="157"/>
              <w:jc w:val="right"/>
              <w:rPr>
                <w:i/>
                <w:sz w:val="16"/>
              </w:rPr>
            </w:pPr>
            <w:r>
              <w:rPr>
                <w:i/>
                <w:sz w:val="16"/>
              </w:rPr>
              <w:t>p.</w:t>
            </w:r>
          </w:p>
        </w:tc>
      </w:tr>
      <w:tr w:rsidR="00C94252">
        <w:trPr>
          <w:trHeight w:val="815"/>
        </w:trPr>
        <w:tc>
          <w:tcPr>
            <w:tcW w:w="1416" w:type="dxa"/>
            <w:vMerge w:val="restart"/>
            <w:tcBorders>
              <w:top w:val="nil"/>
              <w:bottom w:val="nil"/>
              <w:right w:val="single" w:sz="4" w:space="0" w:color="000000"/>
            </w:tcBorders>
          </w:tcPr>
          <w:p w:rsidR="00C94252" w:rsidRDefault="00A33443">
            <w:pPr>
              <w:pStyle w:val="TableParagraph"/>
              <w:spacing w:before="81" w:line="276" w:lineRule="auto"/>
              <w:ind w:left="148" w:right="123" w:hanging="8"/>
              <w:jc w:val="both"/>
              <w:rPr>
                <w:sz w:val="18"/>
              </w:rPr>
            </w:pPr>
            <w:r>
              <w:rPr>
                <w:sz w:val="18"/>
              </w:rPr>
              <w:t>Local planning: communication &amp; participation</w:t>
            </w:r>
          </w:p>
        </w:tc>
        <w:tc>
          <w:tcPr>
            <w:tcW w:w="1459" w:type="dxa"/>
            <w:tcBorders>
              <w:top w:val="nil"/>
              <w:left w:val="single" w:sz="4" w:space="0" w:color="000000"/>
              <w:bottom w:val="single" w:sz="4" w:space="0" w:color="000000"/>
              <w:right w:val="single" w:sz="4" w:space="0" w:color="000000"/>
            </w:tcBorders>
          </w:tcPr>
          <w:p w:rsidR="00C94252" w:rsidRDefault="00A33443">
            <w:pPr>
              <w:pStyle w:val="TableParagraph"/>
              <w:spacing w:before="172" w:line="276" w:lineRule="auto"/>
              <w:ind w:left="86" w:right="368"/>
              <w:rPr>
                <w:sz w:val="18"/>
              </w:rPr>
            </w:pPr>
            <w:r>
              <w:rPr>
                <w:sz w:val="18"/>
              </w:rPr>
              <w:t>Deliberation quality (Q23)</w:t>
            </w:r>
          </w:p>
        </w:tc>
        <w:tc>
          <w:tcPr>
            <w:tcW w:w="552"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605"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49"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741"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18"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52"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7"/>
              <w:ind w:left="86"/>
              <w:rPr>
                <w:sz w:val="16"/>
              </w:rPr>
            </w:pPr>
            <w:r>
              <w:rPr>
                <w:sz w:val="16"/>
              </w:rPr>
              <w:t>,226</w:t>
            </w:r>
          </w:p>
        </w:tc>
        <w:tc>
          <w:tcPr>
            <w:tcW w:w="706" w:type="dxa"/>
            <w:tcBorders>
              <w:top w:val="nil"/>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17"/>
              <w:ind w:left="86"/>
              <w:rPr>
                <w:sz w:val="16"/>
              </w:rPr>
            </w:pPr>
            <w:r>
              <w:rPr>
                <w:sz w:val="16"/>
              </w:rPr>
              <w:t>,085</w:t>
            </w:r>
          </w:p>
        </w:tc>
        <w:tc>
          <w:tcPr>
            <w:tcW w:w="547"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710"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707"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15"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604"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664"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nil"/>
              <w:left w:val="single" w:sz="4" w:space="0" w:color="000000"/>
              <w:bottom w:val="single" w:sz="4" w:space="0" w:color="000000"/>
              <w:right w:val="single" w:sz="4" w:space="0" w:color="000000"/>
            </w:tcBorders>
          </w:tcPr>
          <w:p w:rsidR="00C94252" w:rsidRDefault="00C94252">
            <w:pPr>
              <w:pStyle w:val="TableParagraph"/>
              <w:rPr>
                <w:sz w:val="16"/>
              </w:rPr>
            </w:pPr>
          </w:p>
        </w:tc>
        <w:tc>
          <w:tcPr>
            <w:tcW w:w="508" w:type="dxa"/>
            <w:tcBorders>
              <w:top w:val="nil"/>
              <w:left w:val="single" w:sz="4" w:space="0" w:color="000000"/>
              <w:bottom w:val="single" w:sz="4" w:space="0" w:color="000000"/>
            </w:tcBorders>
          </w:tcPr>
          <w:p w:rsidR="00C94252" w:rsidRDefault="00C94252">
            <w:pPr>
              <w:pStyle w:val="TableParagraph"/>
              <w:rPr>
                <w:sz w:val="16"/>
              </w:rPr>
            </w:pPr>
          </w:p>
        </w:tc>
      </w:tr>
      <w:tr w:rsidR="00C94252">
        <w:trPr>
          <w:trHeight w:val="628"/>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rsidR="00C94252" w:rsidRDefault="00A33443">
            <w:pPr>
              <w:pStyle w:val="TableParagraph"/>
              <w:spacing w:before="76" w:line="276" w:lineRule="auto"/>
              <w:ind w:left="86" w:right="183"/>
              <w:rPr>
                <w:sz w:val="18"/>
              </w:rPr>
            </w:pPr>
            <w:r>
              <w:rPr>
                <w:sz w:val="18"/>
              </w:rPr>
              <w:t>Communication quality (Q21)</w:t>
            </w: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38"/>
              <w:ind w:left="86"/>
              <w:rPr>
                <w:sz w:val="16"/>
              </w:rPr>
            </w:pPr>
            <w:r>
              <w:rPr>
                <w:sz w:val="16"/>
              </w:rPr>
              <w:t>-,281</w:t>
            </w:r>
          </w:p>
        </w:tc>
        <w:tc>
          <w:tcPr>
            <w:tcW w:w="60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38"/>
              <w:ind w:left="86"/>
              <w:rPr>
                <w:sz w:val="16"/>
              </w:rPr>
            </w:pPr>
            <w:r>
              <w:rPr>
                <w:sz w:val="16"/>
              </w:rPr>
              <w:t>,097</w:t>
            </w:r>
          </w:p>
        </w:tc>
        <w:tc>
          <w:tcPr>
            <w:tcW w:w="549"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41"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1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86"/>
              <w:rPr>
                <w:b/>
                <w:sz w:val="16"/>
              </w:rPr>
            </w:pPr>
            <w:r>
              <w:rPr>
                <w:b/>
                <w:sz w:val="16"/>
              </w:rPr>
              <w:t>,342</w:t>
            </w:r>
          </w:p>
        </w:tc>
        <w:tc>
          <w:tcPr>
            <w:tcW w:w="706"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86"/>
              <w:rPr>
                <w:b/>
                <w:sz w:val="16"/>
              </w:rPr>
            </w:pPr>
            <w:r>
              <w:rPr>
                <w:b/>
                <w:sz w:val="16"/>
              </w:rPr>
              <w:t>,031*</w:t>
            </w:r>
          </w:p>
        </w:tc>
        <w:tc>
          <w:tcPr>
            <w:tcW w:w="54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86"/>
              <w:rPr>
                <w:b/>
                <w:sz w:val="16"/>
              </w:rPr>
            </w:pPr>
            <w:r>
              <w:rPr>
                <w:b/>
                <w:sz w:val="16"/>
              </w:rPr>
              <w:t>-0,39</w:t>
            </w:r>
          </w:p>
        </w:tc>
        <w:tc>
          <w:tcPr>
            <w:tcW w:w="71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89"/>
              <w:rPr>
                <w:b/>
                <w:sz w:val="16"/>
              </w:rPr>
            </w:pPr>
            <w:r>
              <w:rPr>
                <w:b/>
                <w:sz w:val="16"/>
              </w:rPr>
              <w:t>,015**</w:t>
            </w: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69" w:right="66"/>
              <w:jc w:val="center"/>
              <w:rPr>
                <w:b/>
                <w:sz w:val="16"/>
              </w:rPr>
            </w:pPr>
            <w:r>
              <w:rPr>
                <w:b/>
                <w:sz w:val="16"/>
              </w:rPr>
              <w:t>-,481</w:t>
            </w:r>
          </w:p>
        </w:tc>
        <w:tc>
          <w:tcPr>
            <w:tcW w:w="70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40"/>
              <w:ind w:left="90"/>
              <w:rPr>
                <w:b/>
                <w:sz w:val="16"/>
              </w:rPr>
            </w:pPr>
            <w:r>
              <w:rPr>
                <w:b/>
                <w:sz w:val="16"/>
              </w:rPr>
              <w:t>,001**</w:t>
            </w:r>
          </w:p>
        </w:tc>
        <w:tc>
          <w:tcPr>
            <w:tcW w:w="51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38"/>
              <w:ind w:right="164"/>
              <w:jc w:val="right"/>
              <w:rPr>
                <w:sz w:val="16"/>
              </w:rPr>
            </w:pPr>
            <w:r>
              <w:rPr>
                <w:sz w:val="16"/>
              </w:rPr>
              <w:t>-,294</w:t>
            </w:r>
          </w:p>
        </w:tc>
        <w:tc>
          <w:tcPr>
            <w:tcW w:w="66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38"/>
              <w:ind w:left="93"/>
              <w:rPr>
                <w:sz w:val="16"/>
              </w:rPr>
            </w:pPr>
            <w:r>
              <w:rPr>
                <w:sz w:val="16"/>
              </w:rPr>
              <w:t>,053</w:t>
            </w: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08" w:type="dxa"/>
            <w:tcBorders>
              <w:top w:val="single" w:sz="4" w:space="0" w:color="000000"/>
              <w:left w:val="single" w:sz="4" w:space="0" w:color="000000"/>
              <w:bottom w:val="single" w:sz="4" w:space="0" w:color="000000"/>
            </w:tcBorders>
          </w:tcPr>
          <w:p w:rsidR="00C94252" w:rsidRDefault="00C94252">
            <w:pPr>
              <w:pStyle w:val="TableParagraph"/>
              <w:rPr>
                <w:sz w:val="16"/>
              </w:rPr>
            </w:pPr>
          </w:p>
        </w:tc>
      </w:tr>
      <w:tr w:rsidR="00C94252">
        <w:trPr>
          <w:trHeight w:val="646"/>
        </w:trPr>
        <w:tc>
          <w:tcPr>
            <w:tcW w:w="1416" w:type="dxa"/>
            <w:vMerge/>
            <w:tcBorders>
              <w:top w:val="nil"/>
              <w:bottom w:val="nil"/>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nil"/>
              <w:right w:val="single" w:sz="4" w:space="0" w:color="000000"/>
            </w:tcBorders>
          </w:tcPr>
          <w:p w:rsidR="00C94252" w:rsidRDefault="00A33443">
            <w:pPr>
              <w:pStyle w:val="TableParagraph"/>
              <w:spacing w:before="76" w:line="276" w:lineRule="auto"/>
              <w:ind w:left="86" w:right="198"/>
              <w:rPr>
                <w:sz w:val="18"/>
              </w:rPr>
            </w:pPr>
            <w:r>
              <w:rPr>
                <w:sz w:val="18"/>
              </w:rPr>
              <w:t>Local actor influence (Q24)</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6"/>
              <w:rPr>
                <w:b/>
                <w:sz w:val="16"/>
              </w:rPr>
            </w:pPr>
            <w:r>
              <w:rPr>
                <w:b/>
                <w:sz w:val="16"/>
              </w:rPr>
              <w:t>-,523</w:t>
            </w:r>
          </w:p>
        </w:tc>
        <w:tc>
          <w:tcPr>
            <w:tcW w:w="605"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6"/>
              <w:rPr>
                <w:b/>
                <w:sz w:val="16"/>
              </w:rPr>
            </w:pPr>
            <w:r>
              <w:rPr>
                <w:b/>
                <w:sz w:val="16"/>
              </w:rPr>
              <w:t>,005*</w:t>
            </w:r>
          </w:p>
        </w:tc>
        <w:tc>
          <w:tcPr>
            <w:tcW w:w="549"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7"/>
              <w:rPr>
                <w:b/>
                <w:sz w:val="16"/>
              </w:rPr>
            </w:pPr>
            <w:r>
              <w:rPr>
                <w:b/>
                <w:sz w:val="16"/>
              </w:rPr>
              <w:t>-,422</w:t>
            </w:r>
          </w:p>
        </w:tc>
        <w:tc>
          <w:tcPr>
            <w:tcW w:w="741"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5"/>
              <w:rPr>
                <w:b/>
                <w:sz w:val="16"/>
              </w:rPr>
            </w:pPr>
            <w:r>
              <w:rPr>
                <w:b/>
                <w:sz w:val="16"/>
              </w:rPr>
              <w:t>,004**</w:t>
            </w:r>
          </w:p>
        </w:tc>
        <w:tc>
          <w:tcPr>
            <w:tcW w:w="51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8"/>
              <w:rPr>
                <w:b/>
                <w:sz w:val="16"/>
              </w:rPr>
            </w:pPr>
            <w:r>
              <w:rPr>
                <w:b/>
                <w:sz w:val="16"/>
              </w:rPr>
              <w:t>,447</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8"/>
              <w:rPr>
                <w:b/>
                <w:sz w:val="16"/>
              </w:rPr>
            </w:pPr>
            <w:r>
              <w:rPr>
                <w:b/>
                <w:sz w:val="16"/>
              </w:rPr>
              <w:t>,000**</w:t>
            </w:r>
          </w:p>
        </w:tc>
        <w:tc>
          <w:tcPr>
            <w:tcW w:w="552"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6"/>
              <w:rPr>
                <w:b/>
                <w:sz w:val="16"/>
              </w:rPr>
            </w:pPr>
            <w:r>
              <w:rPr>
                <w:b/>
                <w:sz w:val="16"/>
              </w:rPr>
              <w:t>,396</w:t>
            </w:r>
          </w:p>
        </w:tc>
        <w:tc>
          <w:tcPr>
            <w:tcW w:w="706"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6"/>
              <w:rPr>
                <w:b/>
                <w:sz w:val="16"/>
              </w:rPr>
            </w:pPr>
            <w:r>
              <w:rPr>
                <w:b/>
                <w:sz w:val="16"/>
              </w:rPr>
              <w:t>,004**</w:t>
            </w:r>
          </w:p>
        </w:tc>
        <w:tc>
          <w:tcPr>
            <w:tcW w:w="547" w:type="dxa"/>
            <w:tcBorders>
              <w:top w:val="single" w:sz="4" w:space="0" w:color="000000"/>
              <w:left w:val="single" w:sz="4" w:space="0" w:color="000000"/>
              <w:bottom w:val="nil"/>
              <w:right w:val="single" w:sz="4" w:space="0" w:color="000000"/>
            </w:tcBorders>
          </w:tcPr>
          <w:p w:rsidR="00C94252" w:rsidRDefault="00C94252">
            <w:pPr>
              <w:pStyle w:val="TableParagraph"/>
              <w:rPr>
                <w:sz w:val="16"/>
              </w:rPr>
            </w:pPr>
          </w:p>
        </w:tc>
        <w:tc>
          <w:tcPr>
            <w:tcW w:w="710" w:type="dxa"/>
            <w:tcBorders>
              <w:top w:val="single" w:sz="4" w:space="0" w:color="000000"/>
              <w:left w:val="single" w:sz="4" w:space="0" w:color="000000"/>
              <w:bottom w:val="nil"/>
              <w:right w:val="single" w:sz="4" w:space="0" w:color="000000"/>
            </w:tcBorders>
          </w:tcPr>
          <w:p w:rsidR="00C94252" w:rsidRDefault="00C94252">
            <w:pPr>
              <w:pStyle w:val="TableParagraph"/>
              <w:rPr>
                <w:sz w:val="16"/>
              </w:rPr>
            </w:pP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69" w:right="66"/>
              <w:jc w:val="center"/>
              <w:rPr>
                <w:b/>
                <w:sz w:val="16"/>
              </w:rPr>
            </w:pPr>
            <w:r>
              <w:rPr>
                <w:b/>
                <w:sz w:val="16"/>
              </w:rPr>
              <w:t>-,327</w:t>
            </w:r>
          </w:p>
        </w:tc>
        <w:tc>
          <w:tcPr>
            <w:tcW w:w="707"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90"/>
              <w:rPr>
                <w:b/>
                <w:sz w:val="16"/>
              </w:rPr>
            </w:pPr>
            <w:r>
              <w:rPr>
                <w:b/>
                <w:sz w:val="16"/>
              </w:rPr>
              <w:t>,014*</w:t>
            </w:r>
          </w:p>
        </w:tc>
        <w:tc>
          <w:tcPr>
            <w:tcW w:w="515"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88"/>
              <w:rPr>
                <w:b/>
                <w:sz w:val="16"/>
              </w:rPr>
            </w:pPr>
            <w:r>
              <w:rPr>
                <w:b/>
                <w:sz w:val="16"/>
              </w:rPr>
              <w:t>,273</w:t>
            </w:r>
          </w:p>
        </w:tc>
        <w:tc>
          <w:tcPr>
            <w:tcW w:w="708"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right="242"/>
              <w:jc w:val="right"/>
              <w:rPr>
                <w:b/>
                <w:sz w:val="16"/>
              </w:rPr>
            </w:pPr>
            <w:r>
              <w:rPr>
                <w:b/>
                <w:sz w:val="16"/>
              </w:rPr>
              <w:t>,049*</w:t>
            </w:r>
          </w:p>
        </w:tc>
        <w:tc>
          <w:tcPr>
            <w:tcW w:w="604"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right="217"/>
              <w:jc w:val="right"/>
              <w:rPr>
                <w:b/>
                <w:sz w:val="16"/>
              </w:rPr>
            </w:pPr>
            <w:r>
              <w:rPr>
                <w:b/>
                <w:sz w:val="16"/>
              </w:rPr>
              <w:t>,293</w:t>
            </w:r>
          </w:p>
        </w:tc>
        <w:tc>
          <w:tcPr>
            <w:tcW w:w="664" w:type="dxa"/>
            <w:tcBorders>
              <w:top w:val="single" w:sz="4" w:space="0" w:color="000000"/>
              <w:left w:val="single" w:sz="4" w:space="0" w:color="000000"/>
              <w:bottom w:val="nil"/>
              <w:right w:val="single" w:sz="4" w:space="0" w:color="000000"/>
            </w:tcBorders>
          </w:tcPr>
          <w:p w:rsidR="00C94252" w:rsidRDefault="00C94252">
            <w:pPr>
              <w:pStyle w:val="TableParagraph"/>
              <w:rPr>
                <w:sz w:val="18"/>
              </w:rPr>
            </w:pPr>
          </w:p>
          <w:p w:rsidR="00C94252" w:rsidRDefault="00A33443">
            <w:pPr>
              <w:pStyle w:val="TableParagraph"/>
              <w:spacing w:before="138"/>
              <w:ind w:left="93"/>
              <w:rPr>
                <w:b/>
                <w:sz w:val="16"/>
              </w:rPr>
            </w:pPr>
            <w:r>
              <w:rPr>
                <w:b/>
                <w:sz w:val="16"/>
              </w:rPr>
              <w:t>,033*</w:t>
            </w:r>
          </w:p>
        </w:tc>
        <w:tc>
          <w:tcPr>
            <w:tcW w:w="520" w:type="dxa"/>
            <w:tcBorders>
              <w:top w:val="single" w:sz="4" w:space="0" w:color="000000"/>
              <w:left w:val="single" w:sz="4" w:space="0" w:color="000000"/>
              <w:bottom w:val="nil"/>
              <w:right w:val="single" w:sz="4" w:space="0" w:color="000000"/>
            </w:tcBorders>
          </w:tcPr>
          <w:p w:rsidR="00C94252" w:rsidRDefault="00C94252">
            <w:pPr>
              <w:pStyle w:val="TableParagraph"/>
              <w:rPr>
                <w:sz w:val="16"/>
              </w:rPr>
            </w:pPr>
          </w:p>
        </w:tc>
        <w:tc>
          <w:tcPr>
            <w:tcW w:w="508" w:type="dxa"/>
            <w:tcBorders>
              <w:top w:val="single" w:sz="4" w:space="0" w:color="000000"/>
              <w:left w:val="single" w:sz="4" w:space="0" w:color="000000"/>
              <w:bottom w:val="nil"/>
            </w:tcBorders>
          </w:tcPr>
          <w:p w:rsidR="00C94252" w:rsidRDefault="00C94252">
            <w:pPr>
              <w:pStyle w:val="TableParagraph"/>
              <w:rPr>
                <w:sz w:val="16"/>
              </w:rPr>
            </w:pPr>
          </w:p>
        </w:tc>
      </w:tr>
      <w:tr w:rsidR="00C94252">
        <w:trPr>
          <w:trHeight w:val="635"/>
        </w:trPr>
        <w:tc>
          <w:tcPr>
            <w:tcW w:w="1416" w:type="dxa"/>
            <w:vMerge w:val="restart"/>
            <w:tcBorders>
              <w:top w:val="nil"/>
              <w:bottom w:val="single" w:sz="12" w:space="0" w:color="000000"/>
              <w:right w:val="single" w:sz="4" w:space="0" w:color="000000"/>
            </w:tcBorders>
          </w:tcPr>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rPr>
                <w:sz w:val="20"/>
              </w:rPr>
            </w:pPr>
          </w:p>
          <w:p w:rsidR="00C94252" w:rsidRDefault="00C94252">
            <w:pPr>
              <w:pStyle w:val="TableParagraph"/>
              <w:spacing w:before="3"/>
              <w:rPr>
                <w:sz w:val="23"/>
              </w:rPr>
            </w:pPr>
          </w:p>
          <w:p w:rsidR="00C94252" w:rsidRDefault="00A33443">
            <w:pPr>
              <w:pStyle w:val="TableParagraph"/>
              <w:spacing w:line="278" w:lineRule="auto"/>
              <w:ind w:left="448" w:right="280" w:hanging="137"/>
              <w:rPr>
                <w:sz w:val="18"/>
              </w:rPr>
            </w:pPr>
            <w:r>
              <w:rPr>
                <w:sz w:val="18"/>
              </w:rPr>
              <w:t>Contextual aspects</w:t>
            </w:r>
          </w:p>
        </w:tc>
        <w:tc>
          <w:tcPr>
            <w:tcW w:w="1459" w:type="dxa"/>
            <w:tcBorders>
              <w:top w:val="nil"/>
              <w:left w:val="single" w:sz="4" w:space="0" w:color="000000"/>
              <w:bottom w:val="single" w:sz="6" w:space="0" w:color="000000"/>
              <w:right w:val="single" w:sz="4" w:space="0" w:color="000000"/>
            </w:tcBorders>
          </w:tcPr>
          <w:p w:rsidR="00C94252" w:rsidRDefault="00A33443">
            <w:pPr>
              <w:pStyle w:val="TableParagraph"/>
              <w:spacing w:before="85" w:line="276" w:lineRule="auto"/>
              <w:ind w:left="86" w:right="323"/>
              <w:rPr>
                <w:sz w:val="18"/>
              </w:rPr>
            </w:pPr>
            <w:r>
              <w:rPr>
                <w:sz w:val="18"/>
              </w:rPr>
              <w:t>Lack of social capital (Q16)</w:t>
            </w: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605"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49"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741"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18"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52"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A33443">
            <w:pPr>
              <w:pStyle w:val="TableParagraph"/>
              <w:spacing w:before="146"/>
              <w:ind w:left="86"/>
              <w:rPr>
                <w:b/>
                <w:sz w:val="16"/>
              </w:rPr>
            </w:pPr>
            <w:r>
              <w:rPr>
                <w:b/>
                <w:sz w:val="16"/>
              </w:rPr>
              <w:t>-,303</w:t>
            </w:r>
          </w:p>
        </w:tc>
        <w:tc>
          <w:tcPr>
            <w:tcW w:w="706"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A33443">
            <w:pPr>
              <w:pStyle w:val="TableParagraph"/>
              <w:spacing w:before="146"/>
              <w:ind w:left="86"/>
              <w:rPr>
                <w:b/>
                <w:sz w:val="16"/>
              </w:rPr>
            </w:pPr>
            <w:r>
              <w:rPr>
                <w:b/>
                <w:sz w:val="16"/>
              </w:rPr>
              <w:t>,015*</w:t>
            </w:r>
          </w:p>
        </w:tc>
        <w:tc>
          <w:tcPr>
            <w:tcW w:w="547"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710"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707"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15"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A33443">
            <w:pPr>
              <w:pStyle w:val="TableParagraph"/>
              <w:spacing w:before="146"/>
              <w:ind w:left="88"/>
              <w:rPr>
                <w:b/>
                <w:sz w:val="16"/>
              </w:rPr>
            </w:pPr>
            <w:r>
              <w:rPr>
                <w:b/>
                <w:sz w:val="16"/>
              </w:rPr>
              <w:t>,301</w:t>
            </w:r>
          </w:p>
        </w:tc>
        <w:tc>
          <w:tcPr>
            <w:tcW w:w="708" w:type="dxa"/>
            <w:tcBorders>
              <w:top w:val="nil"/>
              <w:left w:val="single" w:sz="4" w:space="0" w:color="000000"/>
              <w:bottom w:val="single" w:sz="6" w:space="0" w:color="000000"/>
              <w:right w:val="single" w:sz="4" w:space="0" w:color="000000"/>
            </w:tcBorders>
          </w:tcPr>
          <w:p w:rsidR="00C94252" w:rsidRDefault="00C94252">
            <w:pPr>
              <w:pStyle w:val="TableParagraph"/>
              <w:rPr>
                <w:sz w:val="18"/>
              </w:rPr>
            </w:pPr>
          </w:p>
          <w:p w:rsidR="00C94252" w:rsidRDefault="00A33443">
            <w:pPr>
              <w:pStyle w:val="TableParagraph"/>
              <w:spacing w:before="146"/>
              <w:ind w:right="242"/>
              <w:jc w:val="right"/>
              <w:rPr>
                <w:b/>
                <w:sz w:val="16"/>
              </w:rPr>
            </w:pPr>
            <w:r>
              <w:rPr>
                <w:b/>
                <w:sz w:val="16"/>
              </w:rPr>
              <w:t>,017*</w:t>
            </w:r>
          </w:p>
        </w:tc>
        <w:tc>
          <w:tcPr>
            <w:tcW w:w="604"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664"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20" w:type="dxa"/>
            <w:tcBorders>
              <w:top w:val="nil"/>
              <w:left w:val="single" w:sz="4" w:space="0" w:color="000000"/>
              <w:bottom w:val="single" w:sz="6" w:space="0" w:color="000000"/>
              <w:right w:val="single" w:sz="4" w:space="0" w:color="000000"/>
            </w:tcBorders>
          </w:tcPr>
          <w:p w:rsidR="00C94252" w:rsidRDefault="00C94252">
            <w:pPr>
              <w:pStyle w:val="TableParagraph"/>
              <w:rPr>
                <w:sz w:val="16"/>
              </w:rPr>
            </w:pPr>
          </w:p>
        </w:tc>
        <w:tc>
          <w:tcPr>
            <w:tcW w:w="508" w:type="dxa"/>
            <w:tcBorders>
              <w:top w:val="nil"/>
              <w:left w:val="single" w:sz="4" w:space="0" w:color="000000"/>
              <w:bottom w:val="single" w:sz="6" w:space="0" w:color="000000"/>
            </w:tcBorders>
          </w:tcPr>
          <w:p w:rsidR="00C94252" w:rsidRDefault="00C94252">
            <w:pPr>
              <w:pStyle w:val="TableParagraph"/>
              <w:rPr>
                <w:sz w:val="16"/>
              </w:rPr>
            </w:pPr>
          </w:p>
        </w:tc>
      </w:tr>
      <w:tr w:rsidR="00C94252">
        <w:trPr>
          <w:trHeight w:val="845"/>
        </w:trPr>
        <w:tc>
          <w:tcPr>
            <w:tcW w:w="1416" w:type="dxa"/>
            <w:vMerge/>
            <w:tcBorders>
              <w:top w:val="nil"/>
              <w:bottom w:val="single" w:sz="12" w:space="0" w:color="000000"/>
              <w:right w:val="single" w:sz="4" w:space="0" w:color="000000"/>
            </w:tcBorders>
          </w:tcPr>
          <w:p w:rsidR="00C94252" w:rsidRDefault="00C94252">
            <w:pPr>
              <w:rPr>
                <w:sz w:val="2"/>
                <w:szCs w:val="2"/>
              </w:rPr>
            </w:pPr>
          </w:p>
        </w:tc>
        <w:tc>
          <w:tcPr>
            <w:tcW w:w="1459" w:type="dxa"/>
            <w:tcBorders>
              <w:top w:val="single" w:sz="6" w:space="0" w:color="000000"/>
              <w:left w:val="single" w:sz="4" w:space="0" w:color="000000"/>
              <w:bottom w:val="single" w:sz="4" w:space="0" w:color="000000"/>
              <w:right w:val="single" w:sz="4" w:space="0" w:color="000000"/>
            </w:tcBorders>
          </w:tcPr>
          <w:p w:rsidR="00C94252" w:rsidRDefault="00A33443">
            <w:pPr>
              <w:pStyle w:val="TableParagraph"/>
              <w:spacing w:before="65" w:line="276" w:lineRule="auto"/>
              <w:ind w:left="86" w:right="223"/>
              <w:rPr>
                <w:sz w:val="18"/>
              </w:rPr>
            </w:pPr>
            <w:r>
              <w:rPr>
                <w:sz w:val="18"/>
              </w:rPr>
              <w:t>Lack of communication culture (Q16)</w:t>
            </w:r>
          </w:p>
        </w:tc>
        <w:tc>
          <w:tcPr>
            <w:tcW w:w="552"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5"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49"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57"/>
              <w:ind w:left="87"/>
              <w:rPr>
                <w:sz w:val="16"/>
              </w:rPr>
            </w:pPr>
            <w:r>
              <w:rPr>
                <w:sz w:val="16"/>
              </w:rPr>
              <w:t>,263</w:t>
            </w:r>
          </w:p>
        </w:tc>
        <w:tc>
          <w:tcPr>
            <w:tcW w:w="741"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57"/>
              <w:ind w:left="85"/>
              <w:rPr>
                <w:sz w:val="16"/>
              </w:rPr>
            </w:pPr>
            <w:r>
              <w:rPr>
                <w:sz w:val="16"/>
              </w:rPr>
              <w:t>,091</w:t>
            </w:r>
          </w:p>
        </w:tc>
        <w:tc>
          <w:tcPr>
            <w:tcW w:w="518"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52"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6"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47"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10"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7"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15"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4"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64"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single" w:sz="6"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08" w:type="dxa"/>
            <w:tcBorders>
              <w:top w:val="single" w:sz="6" w:space="0" w:color="000000"/>
              <w:left w:val="single" w:sz="4" w:space="0" w:color="000000"/>
              <w:bottom w:val="single" w:sz="4" w:space="0" w:color="000000"/>
            </w:tcBorders>
          </w:tcPr>
          <w:p w:rsidR="00C94252" w:rsidRDefault="00C94252">
            <w:pPr>
              <w:pStyle w:val="TableParagraph"/>
              <w:rPr>
                <w:sz w:val="16"/>
              </w:rPr>
            </w:pPr>
          </w:p>
        </w:tc>
      </w:tr>
      <w:tr w:rsidR="00C94252">
        <w:trPr>
          <w:trHeight w:val="634"/>
        </w:trPr>
        <w:tc>
          <w:tcPr>
            <w:tcW w:w="1416" w:type="dxa"/>
            <w:vMerge/>
            <w:tcBorders>
              <w:top w:val="nil"/>
              <w:bottom w:val="single" w:sz="12" w:space="0" w:color="000000"/>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rsidR="00C94252" w:rsidRDefault="00A33443">
            <w:pPr>
              <w:pStyle w:val="TableParagraph"/>
              <w:spacing w:before="81" w:line="276" w:lineRule="auto"/>
              <w:ind w:left="86" w:right="113"/>
              <w:rPr>
                <w:sz w:val="18"/>
              </w:rPr>
            </w:pPr>
            <w:r>
              <w:rPr>
                <w:sz w:val="18"/>
              </w:rPr>
              <w:t>Lack of financial resources (Q16)</w:t>
            </w: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4"/>
              <w:ind w:left="86"/>
              <w:rPr>
                <w:sz w:val="16"/>
              </w:rPr>
            </w:pPr>
            <w:r>
              <w:rPr>
                <w:sz w:val="16"/>
              </w:rPr>
              <w:t>,177</w:t>
            </w:r>
          </w:p>
        </w:tc>
        <w:tc>
          <w:tcPr>
            <w:tcW w:w="60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4"/>
              <w:ind w:left="86"/>
              <w:rPr>
                <w:sz w:val="16"/>
              </w:rPr>
            </w:pPr>
            <w:r>
              <w:rPr>
                <w:sz w:val="16"/>
              </w:rPr>
              <w:t>,186</w:t>
            </w:r>
          </w:p>
        </w:tc>
        <w:tc>
          <w:tcPr>
            <w:tcW w:w="549"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41"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1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86"/>
              <w:rPr>
                <w:b/>
                <w:sz w:val="16"/>
              </w:rPr>
            </w:pPr>
            <w:r>
              <w:rPr>
                <w:b/>
                <w:sz w:val="16"/>
              </w:rPr>
              <w:t>,308</w:t>
            </w:r>
          </w:p>
        </w:tc>
        <w:tc>
          <w:tcPr>
            <w:tcW w:w="706"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86"/>
              <w:rPr>
                <w:b/>
                <w:sz w:val="16"/>
              </w:rPr>
            </w:pPr>
            <w:r>
              <w:rPr>
                <w:b/>
                <w:sz w:val="16"/>
              </w:rPr>
              <w:t>,010*</w:t>
            </w:r>
          </w:p>
        </w:tc>
        <w:tc>
          <w:tcPr>
            <w:tcW w:w="54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86"/>
              <w:rPr>
                <w:b/>
                <w:sz w:val="16"/>
              </w:rPr>
            </w:pPr>
            <w:r>
              <w:rPr>
                <w:b/>
                <w:sz w:val="16"/>
              </w:rPr>
              <w:t>,295</w:t>
            </w:r>
          </w:p>
        </w:tc>
        <w:tc>
          <w:tcPr>
            <w:tcW w:w="71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89"/>
              <w:rPr>
                <w:b/>
                <w:sz w:val="16"/>
              </w:rPr>
            </w:pPr>
            <w:r>
              <w:rPr>
                <w:b/>
                <w:sz w:val="16"/>
              </w:rPr>
              <w:t>,026**</w:t>
            </w: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69" w:right="66"/>
              <w:jc w:val="center"/>
              <w:rPr>
                <w:b/>
                <w:sz w:val="16"/>
              </w:rPr>
            </w:pPr>
            <w:r>
              <w:rPr>
                <w:b/>
                <w:sz w:val="16"/>
              </w:rPr>
              <w:t>-,228</w:t>
            </w:r>
          </w:p>
        </w:tc>
        <w:tc>
          <w:tcPr>
            <w:tcW w:w="70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A33443">
            <w:pPr>
              <w:pStyle w:val="TableParagraph"/>
              <w:spacing w:before="156"/>
              <w:ind w:left="90"/>
              <w:rPr>
                <w:b/>
                <w:sz w:val="16"/>
              </w:rPr>
            </w:pPr>
            <w:r>
              <w:rPr>
                <w:b/>
                <w:sz w:val="16"/>
              </w:rPr>
              <w:t>,039*</w:t>
            </w:r>
          </w:p>
        </w:tc>
        <w:tc>
          <w:tcPr>
            <w:tcW w:w="51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6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08" w:type="dxa"/>
            <w:tcBorders>
              <w:top w:val="single" w:sz="4" w:space="0" w:color="000000"/>
              <w:left w:val="single" w:sz="4" w:space="0" w:color="000000"/>
              <w:bottom w:val="single" w:sz="4" w:space="0" w:color="000000"/>
            </w:tcBorders>
          </w:tcPr>
          <w:p w:rsidR="00C94252" w:rsidRDefault="00C94252">
            <w:pPr>
              <w:pStyle w:val="TableParagraph"/>
              <w:rPr>
                <w:sz w:val="16"/>
              </w:rPr>
            </w:pPr>
          </w:p>
        </w:tc>
      </w:tr>
      <w:tr w:rsidR="00C94252">
        <w:trPr>
          <w:trHeight w:val="673"/>
        </w:trPr>
        <w:tc>
          <w:tcPr>
            <w:tcW w:w="1416" w:type="dxa"/>
            <w:vMerge/>
            <w:tcBorders>
              <w:top w:val="nil"/>
              <w:bottom w:val="single" w:sz="12" w:space="0" w:color="000000"/>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rsidR="00C94252" w:rsidRDefault="00A33443">
            <w:pPr>
              <w:pStyle w:val="TableParagraph"/>
              <w:spacing w:before="100" w:line="276" w:lineRule="auto"/>
              <w:ind w:left="86" w:right="138"/>
              <w:rPr>
                <w:sz w:val="18"/>
              </w:rPr>
            </w:pPr>
            <w:r>
              <w:rPr>
                <w:sz w:val="18"/>
              </w:rPr>
              <w:t>Lack of national incentives (Q16)</w:t>
            </w: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49"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87"/>
              <w:rPr>
                <w:sz w:val="16"/>
              </w:rPr>
            </w:pPr>
            <w:r>
              <w:rPr>
                <w:sz w:val="16"/>
              </w:rPr>
              <w:t>,269</w:t>
            </w:r>
          </w:p>
        </w:tc>
        <w:tc>
          <w:tcPr>
            <w:tcW w:w="741"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85"/>
              <w:rPr>
                <w:sz w:val="16"/>
              </w:rPr>
            </w:pPr>
            <w:r>
              <w:rPr>
                <w:sz w:val="16"/>
              </w:rPr>
              <w:t>,055</w:t>
            </w:r>
          </w:p>
        </w:tc>
        <w:tc>
          <w:tcPr>
            <w:tcW w:w="51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52"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6"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4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86"/>
              <w:rPr>
                <w:sz w:val="16"/>
              </w:rPr>
            </w:pPr>
            <w:r>
              <w:rPr>
                <w:sz w:val="16"/>
              </w:rPr>
              <w:t>-,222</w:t>
            </w:r>
          </w:p>
        </w:tc>
        <w:tc>
          <w:tcPr>
            <w:tcW w:w="71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89"/>
              <w:rPr>
                <w:sz w:val="16"/>
              </w:rPr>
            </w:pPr>
            <w:r>
              <w:rPr>
                <w:sz w:val="16"/>
              </w:rPr>
              <w:t>,092</w:t>
            </w: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19" w:right="66"/>
              <w:jc w:val="center"/>
              <w:rPr>
                <w:sz w:val="16"/>
              </w:rPr>
            </w:pPr>
            <w:r>
              <w:rPr>
                <w:sz w:val="16"/>
              </w:rPr>
              <w:t>,183</w:t>
            </w:r>
          </w:p>
        </w:tc>
        <w:tc>
          <w:tcPr>
            <w:tcW w:w="707"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90"/>
              <w:rPr>
                <w:sz w:val="16"/>
              </w:rPr>
            </w:pPr>
            <w:r>
              <w:rPr>
                <w:sz w:val="16"/>
              </w:rPr>
              <w:t>,096</w:t>
            </w:r>
          </w:p>
        </w:tc>
        <w:tc>
          <w:tcPr>
            <w:tcW w:w="515"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0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664"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6"/>
              </w:rPr>
            </w:pPr>
          </w:p>
        </w:tc>
        <w:tc>
          <w:tcPr>
            <w:tcW w:w="520" w:type="dxa"/>
            <w:tcBorders>
              <w:top w:val="single" w:sz="4" w:space="0" w:color="000000"/>
              <w:left w:val="single" w:sz="4" w:space="0" w:color="000000"/>
              <w:bottom w:val="single" w:sz="4" w:space="0" w:color="000000"/>
              <w:right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left="92"/>
              <w:rPr>
                <w:sz w:val="16"/>
              </w:rPr>
            </w:pPr>
            <w:r>
              <w:rPr>
                <w:sz w:val="16"/>
              </w:rPr>
              <w:t>,238</w:t>
            </w:r>
          </w:p>
        </w:tc>
        <w:tc>
          <w:tcPr>
            <w:tcW w:w="508" w:type="dxa"/>
            <w:tcBorders>
              <w:top w:val="single" w:sz="4" w:space="0" w:color="000000"/>
              <w:left w:val="single" w:sz="4" w:space="0" w:color="000000"/>
              <w:bottom w:val="single" w:sz="4" w:space="0" w:color="000000"/>
            </w:tcBorders>
          </w:tcPr>
          <w:p w:rsidR="00C94252" w:rsidRDefault="00C94252">
            <w:pPr>
              <w:pStyle w:val="TableParagraph"/>
              <w:rPr>
                <w:sz w:val="18"/>
              </w:rPr>
            </w:pPr>
          </w:p>
          <w:p w:rsidR="00C94252" w:rsidRDefault="00C94252">
            <w:pPr>
              <w:pStyle w:val="TableParagraph"/>
              <w:spacing w:before="8"/>
              <w:rPr>
                <w:sz w:val="16"/>
              </w:rPr>
            </w:pPr>
          </w:p>
          <w:p w:rsidR="00C94252" w:rsidRDefault="00A33443">
            <w:pPr>
              <w:pStyle w:val="TableParagraph"/>
              <w:ind w:right="114"/>
              <w:jc w:val="right"/>
              <w:rPr>
                <w:sz w:val="16"/>
              </w:rPr>
            </w:pPr>
            <w:r>
              <w:rPr>
                <w:sz w:val="16"/>
              </w:rPr>
              <w:t>,098</w:t>
            </w:r>
          </w:p>
        </w:tc>
      </w:tr>
      <w:tr w:rsidR="00C94252">
        <w:trPr>
          <w:trHeight w:val="859"/>
        </w:trPr>
        <w:tc>
          <w:tcPr>
            <w:tcW w:w="1416" w:type="dxa"/>
            <w:vMerge/>
            <w:tcBorders>
              <w:top w:val="nil"/>
              <w:bottom w:val="single" w:sz="12" w:space="0" w:color="000000"/>
              <w:right w:val="single" w:sz="4" w:space="0" w:color="000000"/>
            </w:tcBorders>
          </w:tcPr>
          <w:p w:rsidR="00C94252" w:rsidRDefault="00C94252">
            <w:pPr>
              <w:rPr>
                <w:sz w:val="2"/>
                <w:szCs w:val="2"/>
              </w:rPr>
            </w:pPr>
          </w:p>
        </w:tc>
        <w:tc>
          <w:tcPr>
            <w:tcW w:w="1459" w:type="dxa"/>
            <w:tcBorders>
              <w:top w:val="single" w:sz="4" w:space="0" w:color="000000"/>
              <w:left w:val="single" w:sz="4" w:space="0" w:color="000000"/>
              <w:bottom w:val="single" w:sz="12" w:space="0" w:color="000000"/>
              <w:right w:val="single" w:sz="4" w:space="0" w:color="000000"/>
            </w:tcBorders>
          </w:tcPr>
          <w:p w:rsidR="00C94252" w:rsidRDefault="00A33443">
            <w:pPr>
              <w:pStyle w:val="TableParagraph"/>
              <w:spacing w:before="66" w:line="276" w:lineRule="auto"/>
              <w:ind w:left="86" w:right="443"/>
              <w:jc w:val="both"/>
              <w:rPr>
                <w:sz w:val="18"/>
              </w:rPr>
            </w:pPr>
            <w:r>
              <w:rPr>
                <w:sz w:val="18"/>
              </w:rPr>
              <w:t>Lack of self- organization (Q16)</w:t>
            </w:r>
          </w:p>
        </w:tc>
        <w:tc>
          <w:tcPr>
            <w:tcW w:w="552"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605"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49"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56"/>
              <w:ind w:left="87"/>
              <w:rPr>
                <w:sz w:val="16"/>
              </w:rPr>
            </w:pPr>
            <w:r>
              <w:rPr>
                <w:sz w:val="16"/>
              </w:rPr>
              <w:t>-,272</w:t>
            </w:r>
          </w:p>
        </w:tc>
        <w:tc>
          <w:tcPr>
            <w:tcW w:w="741"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8"/>
              </w:rPr>
            </w:pPr>
          </w:p>
          <w:p w:rsidR="00C94252" w:rsidRDefault="00C94252">
            <w:pPr>
              <w:pStyle w:val="TableParagraph"/>
              <w:rPr>
                <w:sz w:val="18"/>
              </w:rPr>
            </w:pPr>
          </w:p>
          <w:p w:rsidR="00C94252" w:rsidRDefault="00A33443">
            <w:pPr>
              <w:pStyle w:val="TableParagraph"/>
              <w:spacing w:before="156"/>
              <w:ind w:left="85"/>
              <w:rPr>
                <w:sz w:val="16"/>
              </w:rPr>
            </w:pPr>
            <w:r>
              <w:rPr>
                <w:sz w:val="16"/>
              </w:rPr>
              <w:t>,093</w:t>
            </w:r>
          </w:p>
        </w:tc>
        <w:tc>
          <w:tcPr>
            <w:tcW w:w="518"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52"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706"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47"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710"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20"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707"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15"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708"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604"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664"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20" w:type="dxa"/>
            <w:tcBorders>
              <w:top w:val="single" w:sz="4" w:space="0" w:color="000000"/>
              <w:left w:val="single" w:sz="4" w:space="0" w:color="000000"/>
              <w:bottom w:val="single" w:sz="12" w:space="0" w:color="000000"/>
              <w:right w:val="single" w:sz="4" w:space="0" w:color="000000"/>
            </w:tcBorders>
          </w:tcPr>
          <w:p w:rsidR="00C94252" w:rsidRDefault="00C94252">
            <w:pPr>
              <w:pStyle w:val="TableParagraph"/>
              <w:rPr>
                <w:sz w:val="16"/>
              </w:rPr>
            </w:pPr>
          </w:p>
        </w:tc>
        <w:tc>
          <w:tcPr>
            <w:tcW w:w="508" w:type="dxa"/>
            <w:tcBorders>
              <w:top w:val="single" w:sz="4" w:space="0" w:color="000000"/>
              <w:left w:val="single" w:sz="4" w:space="0" w:color="000000"/>
              <w:bottom w:val="single" w:sz="12" w:space="0" w:color="000000"/>
            </w:tcBorders>
          </w:tcPr>
          <w:p w:rsidR="00C94252" w:rsidRDefault="00C94252">
            <w:pPr>
              <w:pStyle w:val="TableParagraph"/>
              <w:rPr>
                <w:sz w:val="16"/>
              </w:rPr>
            </w:pPr>
          </w:p>
        </w:tc>
      </w:tr>
    </w:tbl>
    <w:p w:rsidR="00C94252" w:rsidRDefault="00C94252">
      <w:pPr>
        <w:rPr>
          <w:sz w:val="16"/>
        </w:rPr>
        <w:sectPr w:rsidR="00C94252">
          <w:pgSz w:w="16850" w:h="11900" w:orient="landscape"/>
          <w:pgMar w:top="1100" w:right="1300" w:bottom="860" w:left="1300" w:header="0" w:footer="671" w:gutter="0"/>
          <w:cols w:space="708"/>
        </w:sectPr>
      </w:pPr>
    </w:p>
    <w:p w:rsidR="00C94252" w:rsidRDefault="00A33443">
      <w:pPr>
        <w:pStyle w:val="Overskrift1"/>
        <w:numPr>
          <w:ilvl w:val="0"/>
          <w:numId w:val="5"/>
        </w:numPr>
        <w:tabs>
          <w:tab w:val="left" w:pos="628"/>
        </w:tabs>
        <w:spacing w:before="74"/>
        <w:ind w:left="627" w:hanging="511"/>
        <w:jc w:val="both"/>
      </w:pPr>
      <w:r>
        <w:t>Discussion</w:t>
      </w:r>
    </w:p>
    <w:p w:rsidR="00C94252" w:rsidRDefault="00A33443">
      <w:pPr>
        <w:pStyle w:val="Brdtekst"/>
        <w:spacing w:before="96"/>
        <w:ind w:left="116" w:right="173"/>
        <w:jc w:val="both"/>
      </w:pPr>
      <w:r>
        <w:t>This</w:t>
      </w:r>
      <w:r>
        <w:rPr>
          <w:spacing w:val="-3"/>
        </w:rPr>
        <w:t xml:space="preserve"> </w:t>
      </w:r>
      <w:r>
        <w:t>study</w:t>
      </w:r>
      <w:r>
        <w:rPr>
          <w:spacing w:val="-7"/>
        </w:rPr>
        <w:t xml:space="preserve"> </w:t>
      </w:r>
      <w:r>
        <w:t>provides</w:t>
      </w:r>
      <w:r>
        <w:rPr>
          <w:spacing w:val="-3"/>
        </w:rPr>
        <w:t xml:space="preserve"> </w:t>
      </w:r>
      <w:r>
        <w:t>an</w:t>
      </w:r>
      <w:r>
        <w:rPr>
          <w:spacing w:val="-3"/>
        </w:rPr>
        <w:t xml:space="preserve"> </w:t>
      </w:r>
      <w:r>
        <w:t>overview</w:t>
      </w:r>
      <w:r>
        <w:rPr>
          <w:spacing w:val="-2"/>
        </w:rPr>
        <w:t xml:space="preserve"> </w:t>
      </w:r>
      <w:r>
        <w:t>of</w:t>
      </w:r>
      <w:r>
        <w:rPr>
          <w:spacing w:val="-4"/>
        </w:rPr>
        <w:t xml:space="preserve"> </w:t>
      </w:r>
      <w:r>
        <w:t>WE</w:t>
      </w:r>
      <w:r>
        <w:rPr>
          <w:spacing w:val="-3"/>
        </w:rPr>
        <w:t xml:space="preserve"> </w:t>
      </w:r>
      <w:r>
        <w:t>acceptance</w:t>
      </w:r>
      <w:r>
        <w:rPr>
          <w:spacing w:val="-3"/>
        </w:rPr>
        <w:t xml:space="preserve"> </w:t>
      </w:r>
      <w:r>
        <w:t>concerns</w:t>
      </w:r>
      <w:r>
        <w:rPr>
          <w:spacing w:val="-3"/>
        </w:rPr>
        <w:t xml:space="preserve"> </w:t>
      </w:r>
      <w:r>
        <w:t>– as</w:t>
      </w:r>
      <w:r>
        <w:rPr>
          <w:spacing w:val="-3"/>
        </w:rPr>
        <w:t xml:space="preserve"> </w:t>
      </w:r>
      <w:r>
        <w:t>perceived</w:t>
      </w:r>
      <w:r>
        <w:rPr>
          <w:spacing w:val="-2"/>
        </w:rPr>
        <w:t xml:space="preserve"> </w:t>
      </w:r>
      <w:r>
        <w:t>by</w:t>
      </w:r>
      <w:r>
        <w:rPr>
          <w:spacing w:val="-9"/>
        </w:rPr>
        <w:t xml:space="preserve"> </w:t>
      </w:r>
      <w:r>
        <w:t>experts</w:t>
      </w:r>
      <w:r>
        <w:rPr>
          <w:spacing w:val="-2"/>
        </w:rPr>
        <w:t xml:space="preserve"> </w:t>
      </w:r>
      <w:r>
        <w:t>–</w:t>
      </w:r>
      <w:r>
        <w:rPr>
          <w:spacing w:val="-3"/>
        </w:rPr>
        <w:t xml:space="preserve"> </w:t>
      </w:r>
      <w:r>
        <w:t>at</w:t>
      </w:r>
      <w:r>
        <w:rPr>
          <w:spacing w:val="-2"/>
        </w:rPr>
        <w:t xml:space="preserve"> </w:t>
      </w:r>
      <w:r>
        <w:t xml:space="preserve">the pan-European level and across supra-national regions. </w:t>
      </w:r>
      <w:r>
        <w:rPr>
          <w:spacing w:val="-3"/>
        </w:rPr>
        <w:t xml:space="preserve">It </w:t>
      </w:r>
      <w:r>
        <w:t xml:space="preserve">further clarifies some links between WE acceptance and planning, with a focus on levels of strategic and local </w:t>
      </w:r>
      <w:r>
        <w:t>planning, as well as their contexts. We proceed to discuss our findings in light of the initially posed research questions.</w:t>
      </w:r>
    </w:p>
    <w:p w:rsidR="00C94252" w:rsidRDefault="00C94252">
      <w:pPr>
        <w:pStyle w:val="Brdtekst"/>
        <w:spacing w:before="9"/>
        <w:rPr>
          <w:sz w:val="31"/>
        </w:rPr>
      </w:pPr>
    </w:p>
    <w:p w:rsidR="00C94252" w:rsidRDefault="00A33443">
      <w:pPr>
        <w:pStyle w:val="Overskrift1"/>
        <w:numPr>
          <w:ilvl w:val="1"/>
          <w:numId w:val="2"/>
        </w:numPr>
        <w:tabs>
          <w:tab w:val="left" w:pos="628"/>
        </w:tabs>
        <w:spacing w:line="259" w:lineRule="auto"/>
        <w:ind w:right="900" w:hanging="511"/>
      </w:pPr>
      <w:r>
        <w:t>What are the commonalities and differences in WE acceptance concerns and planning variables in European regions?</w:t>
      </w:r>
    </w:p>
    <w:p w:rsidR="00C94252" w:rsidRDefault="00C94252">
      <w:pPr>
        <w:pStyle w:val="Brdtekst"/>
        <w:spacing w:before="9"/>
        <w:rPr>
          <w:b/>
          <w:sz w:val="20"/>
        </w:rPr>
      </w:pPr>
    </w:p>
    <w:p w:rsidR="00C94252" w:rsidRDefault="00A33443">
      <w:pPr>
        <w:pStyle w:val="Overskrift2"/>
        <w:numPr>
          <w:ilvl w:val="2"/>
          <w:numId w:val="2"/>
        </w:numPr>
        <w:tabs>
          <w:tab w:val="left" w:pos="837"/>
        </w:tabs>
        <w:jc w:val="both"/>
      </w:pPr>
      <w:r>
        <w:t>Acceptance</w:t>
      </w:r>
      <w:r>
        <w:rPr>
          <w:spacing w:val="-2"/>
        </w:rPr>
        <w:t xml:space="preserve"> </w:t>
      </w:r>
      <w:r>
        <w:t>concer</w:t>
      </w:r>
      <w:r>
        <w:t>ns</w:t>
      </w:r>
    </w:p>
    <w:p w:rsidR="00C94252" w:rsidRDefault="00A33443">
      <w:pPr>
        <w:pStyle w:val="Brdtekst"/>
        <w:spacing w:before="115"/>
        <w:ind w:left="116" w:right="169"/>
        <w:jc w:val="both"/>
      </w:pPr>
      <w:r>
        <w:t>Landscape is, as was expected, of high overall importance for WE-acceptance in almost all regions</w:t>
      </w:r>
      <w:r>
        <w:rPr>
          <w:spacing w:val="-4"/>
        </w:rPr>
        <w:t xml:space="preserve"> </w:t>
      </w:r>
      <w:r>
        <w:t>and</w:t>
      </w:r>
      <w:r>
        <w:rPr>
          <w:spacing w:val="-4"/>
        </w:rPr>
        <w:t xml:space="preserve"> </w:t>
      </w:r>
      <w:r>
        <w:t>sub-regions.</w:t>
      </w:r>
      <w:r>
        <w:rPr>
          <w:spacing w:val="-1"/>
        </w:rPr>
        <w:t xml:space="preserve"> </w:t>
      </w:r>
      <w:r>
        <w:t>This</w:t>
      </w:r>
      <w:r>
        <w:rPr>
          <w:spacing w:val="-3"/>
        </w:rPr>
        <w:t xml:space="preserve"> </w:t>
      </w:r>
      <w:r>
        <w:t>is</w:t>
      </w:r>
      <w:r>
        <w:rPr>
          <w:spacing w:val="-5"/>
        </w:rPr>
        <w:t xml:space="preserve"> </w:t>
      </w:r>
      <w:r>
        <w:t>in</w:t>
      </w:r>
      <w:r>
        <w:rPr>
          <w:spacing w:val="-4"/>
        </w:rPr>
        <w:t xml:space="preserve"> </w:t>
      </w:r>
      <w:r>
        <w:t>line</w:t>
      </w:r>
      <w:r>
        <w:rPr>
          <w:spacing w:val="-4"/>
        </w:rPr>
        <w:t xml:space="preserve"> </w:t>
      </w:r>
      <w:r>
        <w:t>with</w:t>
      </w:r>
      <w:r>
        <w:rPr>
          <w:spacing w:val="-3"/>
        </w:rPr>
        <w:t xml:space="preserve"> </w:t>
      </w:r>
      <w:r>
        <w:t>findings</w:t>
      </w:r>
      <w:r>
        <w:rPr>
          <w:spacing w:val="-3"/>
        </w:rPr>
        <w:t xml:space="preserve"> </w:t>
      </w:r>
      <w:r>
        <w:t>from</w:t>
      </w:r>
      <w:r>
        <w:rPr>
          <w:spacing w:val="-3"/>
        </w:rPr>
        <w:t xml:space="preserve"> </w:t>
      </w:r>
      <w:r>
        <w:t>many</w:t>
      </w:r>
      <w:r>
        <w:rPr>
          <w:spacing w:val="-9"/>
        </w:rPr>
        <w:t xml:space="preserve"> </w:t>
      </w:r>
      <w:r>
        <w:t>previous</w:t>
      </w:r>
      <w:r>
        <w:rPr>
          <w:spacing w:val="-3"/>
        </w:rPr>
        <w:t xml:space="preserve"> </w:t>
      </w:r>
      <w:r>
        <w:t>studies,</w:t>
      </w:r>
      <w:r>
        <w:rPr>
          <w:spacing w:val="-3"/>
        </w:rPr>
        <w:t xml:space="preserve"> </w:t>
      </w:r>
      <w:r>
        <w:t>according</w:t>
      </w:r>
      <w:r>
        <w:rPr>
          <w:spacing w:val="-6"/>
        </w:rPr>
        <w:t xml:space="preserve"> </w:t>
      </w:r>
      <w:r>
        <w:t>to which concerns about visual and aesthetic impacts of WE are a dominant reason for opposing WE projects (Pasqualetti, 2011). However, landscape seems to be less of an issue in the CEE region, especially in the CEE South-Eastern (Bulgaria, Slovenia, Serbi</w:t>
      </w:r>
      <w:r>
        <w:t>a, Croatia, Bosnia &amp; Herzegovina)</w:t>
      </w:r>
      <w:r>
        <w:rPr>
          <w:spacing w:val="-18"/>
        </w:rPr>
        <w:t xml:space="preserve"> </w:t>
      </w:r>
      <w:r>
        <w:t>sub-region,</w:t>
      </w:r>
      <w:r>
        <w:rPr>
          <w:spacing w:val="-12"/>
        </w:rPr>
        <w:t xml:space="preserve"> </w:t>
      </w:r>
      <w:r>
        <w:t>where</w:t>
      </w:r>
      <w:r>
        <w:rPr>
          <w:spacing w:val="-17"/>
        </w:rPr>
        <w:t xml:space="preserve"> </w:t>
      </w:r>
      <w:r>
        <w:t>concerns</w:t>
      </w:r>
      <w:r>
        <w:rPr>
          <w:spacing w:val="-16"/>
        </w:rPr>
        <w:t xml:space="preserve"> </w:t>
      </w:r>
      <w:r>
        <w:t>about</w:t>
      </w:r>
      <w:r>
        <w:rPr>
          <w:spacing w:val="-15"/>
        </w:rPr>
        <w:t xml:space="preserve"> </w:t>
      </w:r>
      <w:r>
        <w:t>the</w:t>
      </w:r>
      <w:r>
        <w:rPr>
          <w:spacing w:val="-14"/>
        </w:rPr>
        <w:t xml:space="preserve"> </w:t>
      </w:r>
      <w:r>
        <w:t>lack</w:t>
      </w:r>
      <w:r>
        <w:rPr>
          <w:spacing w:val="-15"/>
        </w:rPr>
        <w:t xml:space="preserve"> </w:t>
      </w:r>
      <w:r>
        <w:t>of</w:t>
      </w:r>
      <w:r>
        <w:rPr>
          <w:spacing w:val="-17"/>
        </w:rPr>
        <w:t xml:space="preserve"> </w:t>
      </w:r>
      <w:r>
        <w:t>trust</w:t>
      </w:r>
      <w:r>
        <w:rPr>
          <w:spacing w:val="-15"/>
        </w:rPr>
        <w:t xml:space="preserve"> </w:t>
      </w:r>
      <w:r>
        <w:t>and</w:t>
      </w:r>
      <w:r>
        <w:rPr>
          <w:spacing w:val="-16"/>
        </w:rPr>
        <w:t xml:space="preserve"> </w:t>
      </w:r>
      <w:r>
        <w:t>social</w:t>
      </w:r>
      <w:r>
        <w:rPr>
          <w:spacing w:val="-16"/>
        </w:rPr>
        <w:t xml:space="preserve"> </w:t>
      </w:r>
      <w:r>
        <w:t>justice</w:t>
      </w:r>
      <w:r>
        <w:rPr>
          <w:spacing w:val="-16"/>
        </w:rPr>
        <w:t xml:space="preserve"> </w:t>
      </w:r>
      <w:r>
        <w:t>are</w:t>
      </w:r>
      <w:r>
        <w:rPr>
          <w:spacing w:val="-18"/>
        </w:rPr>
        <w:t xml:space="preserve"> </w:t>
      </w:r>
      <w:r>
        <w:t xml:space="preserve">dominant. This characteristic is shared by the Eastern European countries, possibly due to their shorter histories of participatory decision-making </w:t>
      </w:r>
      <w:r>
        <w:t>traditions and less intensive environmental education,</w:t>
      </w:r>
      <w:r>
        <w:rPr>
          <w:spacing w:val="-12"/>
        </w:rPr>
        <w:t xml:space="preserve"> </w:t>
      </w:r>
      <w:r>
        <w:t>which</w:t>
      </w:r>
      <w:r>
        <w:rPr>
          <w:spacing w:val="-12"/>
        </w:rPr>
        <w:t xml:space="preserve"> </w:t>
      </w:r>
      <w:r>
        <w:t>supports</w:t>
      </w:r>
      <w:r>
        <w:rPr>
          <w:spacing w:val="-10"/>
        </w:rPr>
        <w:t xml:space="preserve"> </w:t>
      </w:r>
      <w:r>
        <w:t>voicing</w:t>
      </w:r>
      <w:r>
        <w:rPr>
          <w:spacing w:val="-14"/>
        </w:rPr>
        <w:t xml:space="preserve"> </w:t>
      </w:r>
      <w:r>
        <w:t>more</w:t>
      </w:r>
      <w:r>
        <w:rPr>
          <w:spacing w:val="-12"/>
        </w:rPr>
        <w:t xml:space="preserve"> </w:t>
      </w:r>
      <w:r>
        <w:t>concerns</w:t>
      </w:r>
      <w:r>
        <w:rPr>
          <w:spacing w:val="-10"/>
        </w:rPr>
        <w:t xml:space="preserve"> </w:t>
      </w:r>
      <w:r>
        <w:t>about</w:t>
      </w:r>
      <w:r>
        <w:rPr>
          <w:spacing w:val="-11"/>
        </w:rPr>
        <w:t xml:space="preserve"> </w:t>
      </w:r>
      <w:r>
        <w:t>environmental</w:t>
      </w:r>
      <w:r>
        <w:rPr>
          <w:spacing w:val="-10"/>
        </w:rPr>
        <w:t xml:space="preserve"> </w:t>
      </w:r>
      <w:r>
        <w:t>justice</w:t>
      </w:r>
      <w:r>
        <w:rPr>
          <w:spacing w:val="-13"/>
        </w:rPr>
        <w:t xml:space="preserve"> </w:t>
      </w:r>
      <w:r>
        <w:t>(Paloniemi</w:t>
      </w:r>
      <w:r>
        <w:rPr>
          <w:spacing w:val="-10"/>
        </w:rPr>
        <w:t xml:space="preserve"> </w:t>
      </w:r>
      <w:r>
        <w:t>et</w:t>
      </w:r>
      <w:r>
        <w:rPr>
          <w:spacing w:val="-11"/>
        </w:rPr>
        <w:t xml:space="preserve"> </w:t>
      </w:r>
      <w:r>
        <w:t>al., 2015). However, in line with previous research (e.g., Langer et al., 2016; Wolsink, 2010) our results suggests that a</w:t>
      </w:r>
      <w:r>
        <w:t xml:space="preserve"> lack of trust in experts and authorities is not only a problem in the CEE region.</w:t>
      </w:r>
    </w:p>
    <w:p w:rsidR="00C94252" w:rsidRDefault="00C94252">
      <w:pPr>
        <w:pStyle w:val="Brdtekst"/>
        <w:spacing w:before="4"/>
        <w:rPr>
          <w:sz w:val="21"/>
        </w:rPr>
      </w:pPr>
    </w:p>
    <w:p w:rsidR="00C94252" w:rsidRDefault="00A33443">
      <w:pPr>
        <w:pStyle w:val="Overskrift2"/>
        <w:numPr>
          <w:ilvl w:val="2"/>
          <w:numId w:val="2"/>
        </w:numPr>
        <w:tabs>
          <w:tab w:val="left" w:pos="837"/>
        </w:tabs>
        <w:jc w:val="both"/>
      </w:pPr>
      <w:r>
        <w:t>Planning</w:t>
      </w:r>
      <w:r>
        <w:rPr>
          <w:spacing w:val="-1"/>
        </w:rPr>
        <w:t xml:space="preserve"> </w:t>
      </w:r>
      <w:r>
        <w:t>variables</w:t>
      </w:r>
    </w:p>
    <w:p w:rsidR="00C94252" w:rsidRDefault="00A33443">
      <w:pPr>
        <w:spacing w:before="116"/>
        <w:ind w:left="116" w:right="170" w:firstLine="62"/>
        <w:jc w:val="both"/>
        <w:rPr>
          <w:sz w:val="24"/>
        </w:rPr>
      </w:pPr>
      <w:r>
        <w:rPr>
          <w:sz w:val="24"/>
        </w:rPr>
        <w:t xml:space="preserve">It was found that i) certain aspects of </w:t>
      </w:r>
      <w:r>
        <w:rPr>
          <w:i/>
          <w:sz w:val="24"/>
        </w:rPr>
        <w:t xml:space="preserve">strategic planning, </w:t>
      </w:r>
      <w:r>
        <w:rPr>
          <w:sz w:val="24"/>
        </w:rPr>
        <w:t xml:space="preserve">ii) </w:t>
      </w:r>
      <w:r>
        <w:rPr>
          <w:i/>
          <w:sz w:val="24"/>
        </w:rPr>
        <w:t xml:space="preserve">communication timing, quality </w:t>
      </w:r>
      <w:r>
        <w:rPr>
          <w:sz w:val="24"/>
        </w:rPr>
        <w:t xml:space="preserve">(at strategic and local level), </w:t>
      </w:r>
      <w:r>
        <w:rPr>
          <w:i/>
          <w:sz w:val="24"/>
        </w:rPr>
        <w:t xml:space="preserve">influence </w:t>
      </w:r>
      <w:r>
        <w:rPr>
          <w:sz w:val="24"/>
        </w:rPr>
        <w:t xml:space="preserve">of local actors, and finally, iii) certain </w:t>
      </w:r>
      <w:r>
        <w:rPr>
          <w:i/>
          <w:sz w:val="24"/>
        </w:rPr>
        <w:t xml:space="preserve">socio-cultural contextual </w:t>
      </w:r>
      <w:r>
        <w:rPr>
          <w:sz w:val="24"/>
        </w:rPr>
        <w:t>aspects are perceived significantly differently across the identified regions.</w:t>
      </w:r>
    </w:p>
    <w:p w:rsidR="00C94252" w:rsidRDefault="00A33443">
      <w:pPr>
        <w:pStyle w:val="Brdtekst"/>
        <w:spacing w:before="161"/>
        <w:ind w:left="116" w:right="171"/>
        <w:jc w:val="both"/>
      </w:pPr>
      <w:r>
        <w:t>The findings support the argument that the general socio-economic as well as cultural</w:t>
      </w:r>
      <w:r>
        <w:rPr>
          <w:spacing w:val="-33"/>
        </w:rPr>
        <w:t xml:space="preserve"> </w:t>
      </w:r>
      <w:r>
        <w:t>contexts in the region</w:t>
      </w:r>
      <w:r>
        <w:t xml:space="preserve">s can partially explain the differences in expert assessments (Knieling and Othengrafen, 2015; Othengrafen, 2010; Reimer and Blotevogel, 2012). Some planning variables, such as the </w:t>
      </w:r>
      <w:r>
        <w:rPr>
          <w:i/>
        </w:rPr>
        <w:t xml:space="preserve">provision of communication materials, </w:t>
      </w:r>
      <w:r>
        <w:t xml:space="preserve">perceived </w:t>
      </w:r>
      <w:r>
        <w:rPr>
          <w:i/>
        </w:rPr>
        <w:t>communication</w:t>
      </w:r>
      <w:r>
        <w:rPr>
          <w:i/>
          <w:spacing w:val="-24"/>
        </w:rPr>
        <w:t xml:space="preserve"> </w:t>
      </w:r>
      <w:r>
        <w:rPr>
          <w:i/>
        </w:rPr>
        <w:t xml:space="preserve">quality </w:t>
      </w:r>
      <w:r>
        <w:t>(stra</w:t>
      </w:r>
      <w:r>
        <w:t xml:space="preserve">tegic planning level) or </w:t>
      </w:r>
      <w:r>
        <w:rPr>
          <w:i/>
        </w:rPr>
        <w:t xml:space="preserve">influence of key actors </w:t>
      </w:r>
      <w:r>
        <w:t>in WE development (local planning level) are</w:t>
      </w:r>
      <w:r>
        <w:rPr>
          <w:spacing w:val="-10"/>
        </w:rPr>
        <w:t xml:space="preserve"> </w:t>
      </w:r>
      <w:r>
        <w:t>perceived</w:t>
      </w:r>
      <w:r>
        <w:rPr>
          <w:spacing w:val="-8"/>
        </w:rPr>
        <w:t xml:space="preserve"> </w:t>
      </w:r>
      <w:r>
        <w:t>to</w:t>
      </w:r>
      <w:r>
        <w:rPr>
          <w:spacing w:val="-9"/>
        </w:rPr>
        <w:t xml:space="preserve"> </w:t>
      </w:r>
      <w:r>
        <w:t>be</w:t>
      </w:r>
      <w:r>
        <w:rPr>
          <w:spacing w:val="-9"/>
        </w:rPr>
        <w:t xml:space="preserve"> </w:t>
      </w:r>
      <w:r>
        <w:t>higher</w:t>
      </w:r>
      <w:r>
        <w:rPr>
          <w:spacing w:val="-8"/>
        </w:rPr>
        <w:t xml:space="preserve"> </w:t>
      </w:r>
      <w:r>
        <w:t>in</w:t>
      </w:r>
      <w:r>
        <w:rPr>
          <w:spacing w:val="-9"/>
        </w:rPr>
        <w:t xml:space="preserve"> </w:t>
      </w:r>
      <w:r>
        <w:t>Western</w:t>
      </w:r>
      <w:r>
        <w:rPr>
          <w:spacing w:val="-7"/>
        </w:rPr>
        <w:t xml:space="preserve"> </w:t>
      </w:r>
      <w:r>
        <w:t>Europe</w:t>
      </w:r>
      <w:r>
        <w:rPr>
          <w:spacing w:val="-10"/>
        </w:rPr>
        <w:t xml:space="preserve"> </w:t>
      </w:r>
      <w:r>
        <w:t>than</w:t>
      </w:r>
      <w:r>
        <w:rPr>
          <w:spacing w:val="-9"/>
        </w:rPr>
        <w:t xml:space="preserve"> </w:t>
      </w:r>
      <w:r>
        <w:t>in</w:t>
      </w:r>
      <w:r>
        <w:rPr>
          <w:spacing w:val="-7"/>
        </w:rPr>
        <w:t xml:space="preserve"> </w:t>
      </w:r>
      <w:r>
        <w:t>other</w:t>
      </w:r>
      <w:r>
        <w:rPr>
          <w:spacing w:val="-10"/>
        </w:rPr>
        <w:t xml:space="preserve"> </w:t>
      </w:r>
      <w:r>
        <w:t>regions.</w:t>
      </w:r>
      <w:r>
        <w:rPr>
          <w:spacing w:val="-8"/>
        </w:rPr>
        <w:t xml:space="preserve"> </w:t>
      </w:r>
      <w:r>
        <w:t>This</w:t>
      </w:r>
      <w:r>
        <w:rPr>
          <w:spacing w:val="-8"/>
        </w:rPr>
        <w:t xml:space="preserve"> </w:t>
      </w:r>
      <w:r>
        <w:t>is</w:t>
      </w:r>
      <w:r>
        <w:rPr>
          <w:spacing w:val="-7"/>
        </w:rPr>
        <w:t xml:space="preserve"> </w:t>
      </w:r>
      <w:r>
        <w:t>in</w:t>
      </w:r>
      <w:r>
        <w:rPr>
          <w:spacing w:val="-9"/>
        </w:rPr>
        <w:t xml:space="preserve"> </w:t>
      </w:r>
      <w:r>
        <w:t>line</w:t>
      </w:r>
      <w:r>
        <w:rPr>
          <w:spacing w:val="-9"/>
        </w:rPr>
        <w:t xml:space="preserve"> </w:t>
      </w:r>
      <w:r>
        <w:t>with</w:t>
      </w:r>
      <w:r>
        <w:rPr>
          <w:spacing w:val="-7"/>
        </w:rPr>
        <w:t xml:space="preserve"> </w:t>
      </w:r>
      <w:r>
        <w:t xml:space="preserve">previous studies, as communicative planning has longer traditions in Western </w:t>
      </w:r>
      <w:r>
        <w:t>and Northern parts of Europe (Othengrafen,</w:t>
      </w:r>
      <w:r>
        <w:rPr>
          <w:spacing w:val="-3"/>
        </w:rPr>
        <w:t xml:space="preserve"> </w:t>
      </w:r>
      <w:r>
        <w:t>2010).</w:t>
      </w:r>
    </w:p>
    <w:p w:rsidR="00C94252" w:rsidRDefault="00A33443">
      <w:pPr>
        <w:pStyle w:val="Brdtekst"/>
        <w:spacing w:before="161" w:line="237" w:lineRule="auto"/>
        <w:ind w:left="116" w:right="167"/>
        <w:jc w:val="both"/>
      </w:pPr>
      <w:r>
        <w:t>The sub-regional division enabled us to highlight some differences in a more detailed way. Within the CEE region, respondents from the CEE North-East and East-Central region gave considerably higher ratings</w:t>
      </w:r>
      <w:r>
        <w:t xml:space="preserve"> than those from the CEE South-Eastern region. In particular, the CEE</w:t>
      </w:r>
      <w:r>
        <w:rPr>
          <w:spacing w:val="-12"/>
        </w:rPr>
        <w:t xml:space="preserve"> </w:t>
      </w:r>
      <w:r>
        <w:t>South-Eastern</w:t>
      </w:r>
      <w:r>
        <w:rPr>
          <w:spacing w:val="-12"/>
        </w:rPr>
        <w:t xml:space="preserve"> </w:t>
      </w:r>
      <w:r>
        <w:t>sub-region</w:t>
      </w:r>
      <w:r>
        <w:rPr>
          <w:spacing w:val="-10"/>
        </w:rPr>
        <w:t xml:space="preserve"> </w:t>
      </w:r>
      <w:r>
        <w:t>stands</w:t>
      </w:r>
      <w:r>
        <w:rPr>
          <w:spacing w:val="-12"/>
        </w:rPr>
        <w:t xml:space="preserve"> </w:t>
      </w:r>
      <w:r>
        <w:t>out</w:t>
      </w:r>
      <w:r>
        <w:rPr>
          <w:spacing w:val="-11"/>
        </w:rPr>
        <w:t xml:space="preserve"> </w:t>
      </w:r>
      <w:r>
        <w:t>in</w:t>
      </w:r>
      <w:r>
        <w:rPr>
          <w:spacing w:val="-12"/>
        </w:rPr>
        <w:t xml:space="preserve"> </w:t>
      </w:r>
      <w:r>
        <w:t>several</w:t>
      </w:r>
      <w:r>
        <w:rPr>
          <w:spacing w:val="-11"/>
        </w:rPr>
        <w:t xml:space="preserve"> </w:t>
      </w:r>
      <w:r>
        <w:t>respects.</w:t>
      </w:r>
      <w:r>
        <w:rPr>
          <w:spacing w:val="-10"/>
        </w:rPr>
        <w:t xml:space="preserve"> </w:t>
      </w:r>
      <w:r>
        <w:t>Respondents</w:t>
      </w:r>
      <w:r>
        <w:rPr>
          <w:spacing w:val="-11"/>
        </w:rPr>
        <w:t xml:space="preserve"> </w:t>
      </w:r>
      <w:r>
        <w:t>from</w:t>
      </w:r>
      <w:r>
        <w:rPr>
          <w:spacing w:val="-9"/>
        </w:rPr>
        <w:t xml:space="preserve"> </w:t>
      </w:r>
      <w:r>
        <w:t>this</w:t>
      </w:r>
      <w:r>
        <w:rPr>
          <w:spacing w:val="-12"/>
        </w:rPr>
        <w:t xml:space="preserve"> </w:t>
      </w:r>
      <w:r>
        <w:t>sub-region gave significantly lower scores for several acceptance concerns as well as for different partici</w:t>
      </w:r>
      <w:r>
        <w:t>patory</w:t>
      </w:r>
      <w:r>
        <w:rPr>
          <w:spacing w:val="-19"/>
        </w:rPr>
        <w:t xml:space="preserve"> </w:t>
      </w:r>
      <w:r>
        <w:t>planning</w:t>
      </w:r>
      <w:r>
        <w:rPr>
          <w:spacing w:val="-16"/>
        </w:rPr>
        <w:t xml:space="preserve"> </w:t>
      </w:r>
      <w:r>
        <w:t>variables.</w:t>
      </w:r>
      <w:r>
        <w:rPr>
          <w:spacing w:val="-13"/>
        </w:rPr>
        <w:t xml:space="preserve"> </w:t>
      </w:r>
      <w:r>
        <w:t>Spatial</w:t>
      </w:r>
      <w:r>
        <w:rPr>
          <w:spacing w:val="-13"/>
        </w:rPr>
        <w:t xml:space="preserve"> </w:t>
      </w:r>
      <w:r>
        <w:t>planning</w:t>
      </w:r>
      <w:r>
        <w:rPr>
          <w:spacing w:val="-16"/>
        </w:rPr>
        <w:t xml:space="preserve"> </w:t>
      </w:r>
      <w:r>
        <w:t>in</w:t>
      </w:r>
      <w:r>
        <w:rPr>
          <w:spacing w:val="-13"/>
        </w:rPr>
        <w:t xml:space="preserve"> </w:t>
      </w:r>
      <w:r>
        <w:t>several</w:t>
      </w:r>
      <w:r>
        <w:rPr>
          <w:spacing w:val="-13"/>
        </w:rPr>
        <w:t xml:space="preserve"> </w:t>
      </w:r>
      <w:r>
        <w:t>countries,</w:t>
      </w:r>
      <w:r>
        <w:rPr>
          <w:spacing w:val="-13"/>
        </w:rPr>
        <w:t xml:space="preserve"> </w:t>
      </w:r>
      <w:r>
        <w:t>such</w:t>
      </w:r>
      <w:r>
        <w:rPr>
          <w:spacing w:val="-13"/>
        </w:rPr>
        <w:t xml:space="preserve"> </w:t>
      </w:r>
      <w:r>
        <w:t>as</w:t>
      </w:r>
      <w:r>
        <w:rPr>
          <w:spacing w:val="-14"/>
        </w:rPr>
        <w:t xml:space="preserve"> </w:t>
      </w:r>
      <w:r>
        <w:t>Serbia</w:t>
      </w:r>
      <w:r>
        <w:rPr>
          <w:spacing w:val="-14"/>
        </w:rPr>
        <w:t xml:space="preserve"> </w:t>
      </w:r>
      <w:r>
        <w:t>(Nedović</w:t>
      </w:r>
      <w:r>
        <w:rPr>
          <w:rFonts w:ascii="Malgun Gothic Semilight" w:hAnsi="Malgun Gothic Semilight"/>
        </w:rPr>
        <w:t xml:space="preserve">- </w:t>
      </w:r>
      <w:r>
        <w:t xml:space="preserve">Budić and Cavrić, 2006), has been influenced by former common historical, political and cultural contexts. </w:t>
      </w:r>
      <w:r>
        <w:rPr>
          <w:spacing w:val="-3"/>
        </w:rPr>
        <w:t xml:space="preserve">In </w:t>
      </w:r>
      <w:r>
        <w:t>addition, there has been varying levels of establishment of RE systems in these countries owing to the development of their respective institutional frameworks and national policies for RE (Karakosta et al., 2012). In general, the CEE South-Eastern region</w:t>
      </w:r>
      <w:r>
        <w:rPr>
          <w:spacing w:val="-40"/>
        </w:rPr>
        <w:t xml:space="preserve"> </w:t>
      </w:r>
      <w:r>
        <w:t>has a</w:t>
      </w:r>
      <w:r>
        <w:rPr>
          <w:spacing w:val="18"/>
        </w:rPr>
        <w:t xml:space="preserve"> </w:t>
      </w:r>
      <w:r>
        <w:t>quite</w:t>
      </w:r>
      <w:r>
        <w:rPr>
          <w:spacing w:val="18"/>
        </w:rPr>
        <w:t xml:space="preserve"> </w:t>
      </w:r>
      <w:r>
        <w:t>high</w:t>
      </w:r>
      <w:r>
        <w:rPr>
          <w:spacing w:val="19"/>
        </w:rPr>
        <w:t xml:space="preserve"> </w:t>
      </w:r>
      <w:r>
        <w:t>potential</w:t>
      </w:r>
      <w:r>
        <w:rPr>
          <w:spacing w:val="19"/>
        </w:rPr>
        <w:t xml:space="preserve"> </w:t>
      </w:r>
      <w:r>
        <w:t>for</w:t>
      </w:r>
      <w:r>
        <w:rPr>
          <w:spacing w:val="21"/>
        </w:rPr>
        <w:t xml:space="preserve"> </w:t>
      </w:r>
      <w:r>
        <w:t>WE</w:t>
      </w:r>
      <w:r>
        <w:rPr>
          <w:spacing w:val="19"/>
        </w:rPr>
        <w:t xml:space="preserve"> </w:t>
      </w:r>
      <w:r>
        <w:t>development,</w:t>
      </w:r>
      <w:r>
        <w:rPr>
          <w:spacing w:val="20"/>
        </w:rPr>
        <w:t xml:space="preserve"> </w:t>
      </w:r>
      <w:r>
        <w:t>but</w:t>
      </w:r>
      <w:r>
        <w:rPr>
          <w:spacing w:val="19"/>
        </w:rPr>
        <w:t xml:space="preserve"> </w:t>
      </w:r>
      <w:r>
        <w:t>areas</w:t>
      </w:r>
      <w:r>
        <w:rPr>
          <w:spacing w:val="20"/>
        </w:rPr>
        <w:t xml:space="preserve"> </w:t>
      </w:r>
      <w:r>
        <w:t>best</w:t>
      </w:r>
      <w:r>
        <w:rPr>
          <w:spacing w:val="20"/>
        </w:rPr>
        <w:t xml:space="preserve"> </w:t>
      </w:r>
      <w:r>
        <w:t>suitable</w:t>
      </w:r>
      <w:r>
        <w:rPr>
          <w:spacing w:val="19"/>
        </w:rPr>
        <w:t xml:space="preserve"> </w:t>
      </w:r>
      <w:r>
        <w:t>for</w:t>
      </w:r>
      <w:r>
        <w:rPr>
          <w:spacing w:val="20"/>
        </w:rPr>
        <w:t xml:space="preserve"> </w:t>
      </w:r>
      <w:r>
        <w:t>it</w:t>
      </w:r>
      <w:r>
        <w:rPr>
          <w:spacing w:val="19"/>
        </w:rPr>
        <w:t xml:space="preserve"> </w:t>
      </w:r>
      <w:r>
        <w:t>are</w:t>
      </w:r>
      <w:r>
        <w:rPr>
          <w:spacing w:val="17"/>
        </w:rPr>
        <w:t xml:space="preserve"> </w:t>
      </w:r>
      <w:r>
        <w:t>highly</w:t>
      </w:r>
      <w:r>
        <w:rPr>
          <w:spacing w:val="17"/>
        </w:rPr>
        <w:t xml:space="preserve"> </w:t>
      </w:r>
      <w:r>
        <w:t>spatially</w:t>
      </w:r>
    </w:p>
    <w:p w:rsidR="00C94252" w:rsidRDefault="00C94252">
      <w:pPr>
        <w:spacing w:line="237" w:lineRule="auto"/>
        <w:jc w:val="both"/>
        <w:sectPr w:rsidR="00C94252">
          <w:footerReference w:type="default" r:id="rId28"/>
          <w:pgSz w:w="11900" w:h="16850"/>
          <w:pgMar w:top="1340" w:right="1240" w:bottom="940" w:left="1300" w:header="0" w:footer="751" w:gutter="0"/>
          <w:pgNumType w:start="21"/>
          <w:cols w:space="708"/>
        </w:sectPr>
      </w:pPr>
    </w:p>
    <w:p w:rsidR="00C94252" w:rsidRDefault="00A33443">
      <w:pPr>
        <w:pStyle w:val="Brdtekst"/>
        <w:spacing w:before="69"/>
        <w:ind w:left="116" w:right="169"/>
        <w:jc w:val="both"/>
      </w:pPr>
      <w:r>
        <w:t>dispersed (Ban et al., 2013). Apart from the biophysical constraints, some institutional challenges related to WE planning are hindering its development. For example, some of the countries, such as Bulgaria or Bosnia-Herzegovina, do not yet have set specif</w:t>
      </w:r>
      <w:r>
        <w:t>ic targets or</w:t>
      </w:r>
      <w:r>
        <w:rPr>
          <w:spacing w:val="-24"/>
        </w:rPr>
        <w:t xml:space="preserve"> </w:t>
      </w:r>
      <w:r>
        <w:t>have launched policies for RE development, possibly due to structural changes in their economies, complex</w:t>
      </w:r>
      <w:r>
        <w:rPr>
          <w:spacing w:val="-6"/>
        </w:rPr>
        <w:t xml:space="preserve"> </w:t>
      </w:r>
      <w:r>
        <w:t>administrative</w:t>
      </w:r>
      <w:r>
        <w:rPr>
          <w:spacing w:val="-7"/>
        </w:rPr>
        <w:t xml:space="preserve"> </w:t>
      </w:r>
      <w:r>
        <w:t>procedures</w:t>
      </w:r>
      <w:r>
        <w:rPr>
          <w:spacing w:val="-6"/>
        </w:rPr>
        <w:t xml:space="preserve"> </w:t>
      </w:r>
      <w:r>
        <w:t>impeding</w:t>
      </w:r>
      <w:r>
        <w:rPr>
          <w:spacing w:val="-6"/>
        </w:rPr>
        <w:t xml:space="preserve"> </w:t>
      </w:r>
      <w:r>
        <w:t>cooperation</w:t>
      </w:r>
      <w:r>
        <w:rPr>
          <w:spacing w:val="-6"/>
        </w:rPr>
        <w:t xml:space="preserve"> </w:t>
      </w:r>
      <w:r>
        <w:t>and</w:t>
      </w:r>
      <w:r>
        <w:rPr>
          <w:spacing w:val="-7"/>
        </w:rPr>
        <w:t xml:space="preserve"> </w:t>
      </w:r>
      <w:r>
        <w:t>other</w:t>
      </w:r>
      <w:r>
        <w:rPr>
          <w:spacing w:val="-8"/>
        </w:rPr>
        <w:t xml:space="preserve"> </w:t>
      </w:r>
      <w:r>
        <w:t>similar</w:t>
      </w:r>
      <w:r>
        <w:rPr>
          <w:spacing w:val="-6"/>
        </w:rPr>
        <w:t xml:space="preserve"> </w:t>
      </w:r>
      <w:r>
        <w:t>reasons</w:t>
      </w:r>
      <w:r>
        <w:rPr>
          <w:spacing w:val="-6"/>
        </w:rPr>
        <w:t xml:space="preserve"> </w:t>
      </w:r>
      <w:r>
        <w:t>(Karakosta et al., 2012; Punda et al., 2017).</w:t>
      </w:r>
    </w:p>
    <w:p w:rsidR="00C94252" w:rsidRDefault="00A33443">
      <w:pPr>
        <w:pStyle w:val="Brdtekst"/>
        <w:spacing w:before="162"/>
        <w:ind w:left="116" w:right="172"/>
        <w:jc w:val="both"/>
      </w:pPr>
      <w:r>
        <w:t>Lower scores in t</w:t>
      </w:r>
      <w:r>
        <w:t>he assessments were also characteristic to the Southern European region, for instance, in terms of communication quality, timing of communication or actor influence. An explanation</w:t>
      </w:r>
      <w:r>
        <w:rPr>
          <w:spacing w:val="-13"/>
        </w:rPr>
        <w:t xml:space="preserve"> </w:t>
      </w:r>
      <w:r>
        <w:t>for</w:t>
      </w:r>
      <w:r>
        <w:rPr>
          <w:spacing w:val="-14"/>
        </w:rPr>
        <w:t xml:space="preserve"> </w:t>
      </w:r>
      <w:r>
        <w:t>this</w:t>
      </w:r>
      <w:r>
        <w:rPr>
          <w:spacing w:val="-13"/>
        </w:rPr>
        <w:t xml:space="preserve"> </w:t>
      </w:r>
      <w:r>
        <w:t>could</w:t>
      </w:r>
      <w:r>
        <w:rPr>
          <w:spacing w:val="-11"/>
        </w:rPr>
        <w:t xml:space="preserve"> </w:t>
      </w:r>
      <w:r>
        <w:t>be</w:t>
      </w:r>
      <w:r>
        <w:rPr>
          <w:spacing w:val="-14"/>
        </w:rPr>
        <w:t xml:space="preserve"> </w:t>
      </w:r>
      <w:r>
        <w:t>that</w:t>
      </w:r>
      <w:r>
        <w:rPr>
          <w:spacing w:val="-12"/>
        </w:rPr>
        <w:t xml:space="preserve"> </w:t>
      </w:r>
      <w:r>
        <w:t>in</w:t>
      </w:r>
      <w:r>
        <w:rPr>
          <w:spacing w:val="-13"/>
        </w:rPr>
        <w:t xml:space="preserve"> </w:t>
      </w:r>
      <w:r>
        <w:t>several</w:t>
      </w:r>
      <w:r>
        <w:rPr>
          <w:spacing w:val="-12"/>
        </w:rPr>
        <w:t xml:space="preserve"> </w:t>
      </w:r>
      <w:r>
        <w:t>of</w:t>
      </w:r>
      <w:r>
        <w:rPr>
          <w:spacing w:val="-13"/>
        </w:rPr>
        <w:t xml:space="preserve"> </w:t>
      </w:r>
      <w:r>
        <w:t>the</w:t>
      </w:r>
      <w:r>
        <w:rPr>
          <w:spacing w:val="-14"/>
        </w:rPr>
        <w:t xml:space="preserve"> </w:t>
      </w:r>
      <w:r>
        <w:t>South</w:t>
      </w:r>
      <w:r>
        <w:rPr>
          <w:spacing w:val="-11"/>
        </w:rPr>
        <w:t xml:space="preserve"> </w:t>
      </w:r>
      <w:r>
        <w:t>European</w:t>
      </w:r>
      <w:r>
        <w:rPr>
          <w:spacing w:val="-13"/>
        </w:rPr>
        <w:t xml:space="preserve"> </w:t>
      </w:r>
      <w:r>
        <w:t>countries,</w:t>
      </w:r>
      <w:r>
        <w:rPr>
          <w:spacing w:val="-9"/>
        </w:rPr>
        <w:t xml:space="preserve"> </w:t>
      </w:r>
      <w:r>
        <w:t>there</w:t>
      </w:r>
      <w:r>
        <w:rPr>
          <w:spacing w:val="-14"/>
        </w:rPr>
        <w:t xml:space="preserve"> </w:t>
      </w:r>
      <w:r>
        <w:t>is</w:t>
      </w:r>
      <w:r>
        <w:rPr>
          <w:spacing w:val="-12"/>
        </w:rPr>
        <w:t xml:space="preserve"> </w:t>
      </w:r>
      <w:r>
        <w:t>more</w:t>
      </w:r>
      <w:r>
        <w:rPr>
          <w:spacing w:val="-15"/>
        </w:rPr>
        <w:t xml:space="preserve"> </w:t>
      </w:r>
      <w:r>
        <w:t>focus on social (distributional) justice than on procedural justice (Delicado et al., 2014), as the latter is</w:t>
      </w:r>
      <w:r>
        <w:rPr>
          <w:spacing w:val="-5"/>
        </w:rPr>
        <w:t xml:space="preserve"> </w:t>
      </w:r>
      <w:r>
        <w:t>still</w:t>
      </w:r>
      <w:r>
        <w:rPr>
          <w:spacing w:val="-4"/>
        </w:rPr>
        <w:t xml:space="preserve"> </w:t>
      </w:r>
      <w:r>
        <w:t>in</w:t>
      </w:r>
      <w:r>
        <w:rPr>
          <w:spacing w:val="-4"/>
        </w:rPr>
        <w:t xml:space="preserve"> </w:t>
      </w:r>
      <w:r>
        <w:t>a</w:t>
      </w:r>
      <w:r>
        <w:rPr>
          <w:spacing w:val="-6"/>
        </w:rPr>
        <w:t xml:space="preserve"> </w:t>
      </w:r>
      <w:r>
        <w:t>developing</w:t>
      </w:r>
      <w:r>
        <w:rPr>
          <w:spacing w:val="-4"/>
        </w:rPr>
        <w:t xml:space="preserve"> </w:t>
      </w:r>
      <w:r>
        <w:t>stage.</w:t>
      </w:r>
      <w:r>
        <w:rPr>
          <w:spacing w:val="-2"/>
        </w:rPr>
        <w:t xml:space="preserve"> </w:t>
      </w:r>
      <w:r>
        <w:t>This</w:t>
      </w:r>
      <w:r>
        <w:rPr>
          <w:spacing w:val="-5"/>
        </w:rPr>
        <w:t xml:space="preserve"> </w:t>
      </w:r>
      <w:r>
        <w:t>tendency</w:t>
      </w:r>
      <w:r>
        <w:rPr>
          <w:spacing w:val="-6"/>
        </w:rPr>
        <w:t xml:space="preserve"> </w:t>
      </w:r>
      <w:r>
        <w:t>can</w:t>
      </w:r>
      <w:r>
        <w:rPr>
          <w:spacing w:val="-3"/>
        </w:rPr>
        <w:t xml:space="preserve"> </w:t>
      </w:r>
      <w:r>
        <w:t>also</w:t>
      </w:r>
      <w:r>
        <w:rPr>
          <w:spacing w:val="-4"/>
        </w:rPr>
        <w:t xml:space="preserve"> </w:t>
      </w:r>
      <w:r>
        <w:t>partly</w:t>
      </w:r>
      <w:r>
        <w:rPr>
          <w:spacing w:val="-9"/>
        </w:rPr>
        <w:t xml:space="preserve"> </w:t>
      </w:r>
      <w:r>
        <w:t>be</w:t>
      </w:r>
      <w:r>
        <w:rPr>
          <w:spacing w:val="-4"/>
        </w:rPr>
        <w:t xml:space="preserve"> </w:t>
      </w:r>
      <w:r>
        <w:t>explained</w:t>
      </w:r>
      <w:r>
        <w:rPr>
          <w:spacing w:val="-4"/>
        </w:rPr>
        <w:t xml:space="preserve"> </w:t>
      </w:r>
      <w:r>
        <w:t>by</w:t>
      </w:r>
      <w:r>
        <w:rPr>
          <w:spacing w:val="-8"/>
        </w:rPr>
        <w:t xml:space="preserve"> </w:t>
      </w:r>
      <w:r>
        <w:t>the</w:t>
      </w:r>
      <w:r>
        <w:rPr>
          <w:spacing w:val="-5"/>
        </w:rPr>
        <w:t xml:space="preserve"> </w:t>
      </w:r>
      <w:r>
        <w:t>spatial</w:t>
      </w:r>
      <w:r>
        <w:rPr>
          <w:spacing w:val="-4"/>
        </w:rPr>
        <w:t xml:space="preserve"> </w:t>
      </w:r>
      <w:r>
        <w:t>planning context in general: in South-European countries, informal forms of communication and action tend to be more common (Reimer and Blotevogel,</w:t>
      </w:r>
      <w:r>
        <w:rPr>
          <w:spacing w:val="-1"/>
        </w:rPr>
        <w:t xml:space="preserve"> </w:t>
      </w:r>
      <w:r>
        <w:t>2012).</w:t>
      </w:r>
    </w:p>
    <w:p w:rsidR="00C94252" w:rsidRDefault="00C94252">
      <w:pPr>
        <w:pStyle w:val="Brdtekst"/>
        <w:spacing w:before="8"/>
        <w:rPr>
          <w:sz w:val="31"/>
        </w:rPr>
      </w:pPr>
    </w:p>
    <w:p w:rsidR="00C94252" w:rsidRDefault="00A33443">
      <w:pPr>
        <w:pStyle w:val="Overskrift1"/>
        <w:numPr>
          <w:ilvl w:val="1"/>
          <w:numId w:val="1"/>
        </w:numPr>
        <w:tabs>
          <w:tab w:val="left" w:pos="628"/>
        </w:tabs>
        <w:spacing w:before="1"/>
        <w:ind w:right="172" w:hanging="511"/>
      </w:pPr>
      <w:r>
        <w:t>How important are strategic, local planning and contextual factors for WE resistance?</w:t>
      </w:r>
    </w:p>
    <w:p w:rsidR="00C94252" w:rsidRDefault="00C94252">
      <w:pPr>
        <w:pStyle w:val="Brdtekst"/>
        <w:spacing w:before="10"/>
        <w:rPr>
          <w:b/>
          <w:sz w:val="20"/>
        </w:rPr>
      </w:pPr>
    </w:p>
    <w:p w:rsidR="00C94252" w:rsidRDefault="00A33443">
      <w:pPr>
        <w:pStyle w:val="Overskrift2"/>
        <w:numPr>
          <w:ilvl w:val="2"/>
          <w:numId w:val="1"/>
        </w:numPr>
        <w:tabs>
          <w:tab w:val="left" w:pos="837"/>
        </w:tabs>
        <w:jc w:val="both"/>
      </w:pPr>
      <w:r>
        <w:t>Overall patte</w:t>
      </w:r>
      <w:r>
        <w:t>rns</w:t>
      </w:r>
    </w:p>
    <w:p w:rsidR="00C94252" w:rsidRDefault="00A33443">
      <w:pPr>
        <w:pStyle w:val="Brdtekst"/>
        <w:spacing w:before="115"/>
        <w:ind w:left="116" w:right="169"/>
        <w:jc w:val="both"/>
      </w:pPr>
      <w:r>
        <w:t>In</w:t>
      </w:r>
      <w:r>
        <w:rPr>
          <w:spacing w:val="-13"/>
        </w:rPr>
        <w:t xml:space="preserve"> </w:t>
      </w:r>
      <w:r>
        <w:t>determining</w:t>
      </w:r>
      <w:r>
        <w:rPr>
          <w:spacing w:val="-17"/>
        </w:rPr>
        <w:t xml:space="preserve"> </w:t>
      </w:r>
      <w:r>
        <w:t>planning</w:t>
      </w:r>
      <w:r>
        <w:rPr>
          <w:spacing w:val="-15"/>
        </w:rPr>
        <w:t xml:space="preserve"> </w:t>
      </w:r>
      <w:r>
        <w:t>outcomes,</w:t>
      </w:r>
      <w:r>
        <w:rPr>
          <w:spacing w:val="-14"/>
        </w:rPr>
        <w:t xml:space="preserve"> </w:t>
      </w:r>
      <w:r>
        <w:t>the</w:t>
      </w:r>
      <w:r>
        <w:rPr>
          <w:spacing w:val="-15"/>
        </w:rPr>
        <w:t xml:space="preserve"> </w:t>
      </w:r>
      <w:r>
        <w:t>communicative</w:t>
      </w:r>
      <w:r>
        <w:rPr>
          <w:spacing w:val="-14"/>
        </w:rPr>
        <w:t xml:space="preserve"> </w:t>
      </w:r>
      <w:r>
        <w:t>dimension</w:t>
      </w:r>
      <w:r>
        <w:rPr>
          <w:spacing w:val="-14"/>
        </w:rPr>
        <w:t xml:space="preserve"> </w:t>
      </w:r>
      <w:r>
        <w:t>of</w:t>
      </w:r>
      <w:r>
        <w:rPr>
          <w:spacing w:val="-16"/>
        </w:rPr>
        <w:t xml:space="preserve"> </w:t>
      </w:r>
      <w:r>
        <w:t>planning</w:t>
      </w:r>
      <w:r>
        <w:rPr>
          <w:spacing w:val="-17"/>
        </w:rPr>
        <w:t xml:space="preserve"> </w:t>
      </w:r>
      <w:r>
        <w:t>processes</w:t>
      </w:r>
      <w:r>
        <w:rPr>
          <w:spacing w:val="-13"/>
        </w:rPr>
        <w:t xml:space="preserve"> </w:t>
      </w:r>
      <w:r>
        <w:t>usually matters</w:t>
      </w:r>
      <w:r>
        <w:rPr>
          <w:spacing w:val="-7"/>
        </w:rPr>
        <w:t xml:space="preserve"> </w:t>
      </w:r>
      <w:r>
        <w:t>as</w:t>
      </w:r>
      <w:r>
        <w:rPr>
          <w:spacing w:val="-7"/>
        </w:rPr>
        <w:t xml:space="preserve"> </w:t>
      </w:r>
      <w:r>
        <w:t>much</w:t>
      </w:r>
      <w:r>
        <w:rPr>
          <w:spacing w:val="-7"/>
        </w:rPr>
        <w:t xml:space="preserve"> </w:t>
      </w:r>
      <w:r>
        <w:t>as</w:t>
      </w:r>
      <w:r>
        <w:rPr>
          <w:spacing w:val="-7"/>
        </w:rPr>
        <w:t xml:space="preserve"> </w:t>
      </w:r>
      <w:r>
        <w:t>the</w:t>
      </w:r>
      <w:r>
        <w:rPr>
          <w:spacing w:val="-7"/>
        </w:rPr>
        <w:t xml:space="preserve"> </w:t>
      </w:r>
      <w:r>
        <w:t>technical-analytical</w:t>
      </w:r>
      <w:r>
        <w:rPr>
          <w:spacing w:val="-6"/>
        </w:rPr>
        <w:t xml:space="preserve"> </w:t>
      </w:r>
      <w:r>
        <w:t>side</w:t>
      </w:r>
      <w:r>
        <w:rPr>
          <w:spacing w:val="-7"/>
        </w:rPr>
        <w:t xml:space="preserve"> </w:t>
      </w:r>
      <w:r>
        <w:t>(Simão</w:t>
      </w:r>
      <w:r>
        <w:rPr>
          <w:spacing w:val="-6"/>
        </w:rPr>
        <w:t xml:space="preserve"> </w:t>
      </w:r>
      <w:r>
        <w:t>et</w:t>
      </w:r>
      <w:r>
        <w:rPr>
          <w:spacing w:val="-7"/>
        </w:rPr>
        <w:t xml:space="preserve"> </w:t>
      </w:r>
      <w:r>
        <w:t>al.,</w:t>
      </w:r>
      <w:r>
        <w:rPr>
          <w:spacing w:val="-6"/>
        </w:rPr>
        <w:t xml:space="preserve"> </w:t>
      </w:r>
      <w:r>
        <w:t>2009).</w:t>
      </w:r>
      <w:r>
        <w:rPr>
          <w:spacing w:val="-7"/>
        </w:rPr>
        <w:t xml:space="preserve"> </w:t>
      </w:r>
      <w:r>
        <w:t>Existing</w:t>
      </w:r>
      <w:r>
        <w:rPr>
          <w:spacing w:val="-8"/>
        </w:rPr>
        <w:t xml:space="preserve"> </w:t>
      </w:r>
      <w:r>
        <w:t>research</w:t>
      </w:r>
      <w:r>
        <w:rPr>
          <w:spacing w:val="-6"/>
        </w:rPr>
        <w:t xml:space="preserve"> </w:t>
      </w:r>
      <w:r>
        <w:t xml:space="preserve">strongly highlights that the involvement of key actors in higher-scale </w:t>
      </w:r>
      <w:r>
        <w:t>decision-making about RE is a crucial factor affecting acceptance (Fast, 2013; Langer et al., 2016; McLaren Loring, 2007; Wolsink, 2010). Our survey supports this: inadequate participation and a lack of identification with the project were considered as be</w:t>
      </w:r>
      <w:r>
        <w:t>ing among the key reasons for resistance to WE development. There appeared, however, to be a negative correlation between higher communication</w:t>
      </w:r>
      <w:r>
        <w:rPr>
          <w:spacing w:val="-11"/>
        </w:rPr>
        <w:t xml:space="preserve"> </w:t>
      </w:r>
      <w:r>
        <w:t>quality</w:t>
      </w:r>
      <w:r>
        <w:rPr>
          <w:spacing w:val="-18"/>
        </w:rPr>
        <w:t xml:space="preserve"> </w:t>
      </w:r>
      <w:r>
        <w:t>and</w:t>
      </w:r>
      <w:r>
        <w:rPr>
          <w:spacing w:val="-10"/>
        </w:rPr>
        <w:t xml:space="preserve"> </w:t>
      </w:r>
      <w:r>
        <w:t>landscape</w:t>
      </w:r>
      <w:r>
        <w:rPr>
          <w:spacing w:val="-12"/>
        </w:rPr>
        <w:t xml:space="preserve"> </w:t>
      </w:r>
      <w:r>
        <w:t>concerns,</w:t>
      </w:r>
      <w:r>
        <w:rPr>
          <w:spacing w:val="-11"/>
        </w:rPr>
        <w:t xml:space="preserve"> </w:t>
      </w:r>
      <w:r>
        <w:t>which</w:t>
      </w:r>
      <w:r>
        <w:rPr>
          <w:spacing w:val="-11"/>
        </w:rPr>
        <w:t xml:space="preserve"> </w:t>
      </w:r>
      <w:r>
        <w:t>is</w:t>
      </w:r>
      <w:r>
        <w:rPr>
          <w:spacing w:val="-11"/>
        </w:rPr>
        <w:t xml:space="preserve"> </w:t>
      </w:r>
      <w:r>
        <w:t>generally</w:t>
      </w:r>
      <w:r>
        <w:rPr>
          <w:spacing w:val="-16"/>
        </w:rPr>
        <w:t xml:space="preserve"> </w:t>
      </w:r>
      <w:r>
        <w:t>in</w:t>
      </w:r>
      <w:r>
        <w:rPr>
          <w:spacing w:val="-11"/>
        </w:rPr>
        <w:t xml:space="preserve"> </w:t>
      </w:r>
      <w:r>
        <w:t>accordance</w:t>
      </w:r>
      <w:r>
        <w:rPr>
          <w:spacing w:val="-11"/>
        </w:rPr>
        <w:t xml:space="preserve"> </w:t>
      </w:r>
      <w:r>
        <w:t>with</w:t>
      </w:r>
      <w:r>
        <w:rPr>
          <w:spacing w:val="-11"/>
        </w:rPr>
        <w:t xml:space="preserve"> </w:t>
      </w:r>
      <w:r>
        <w:t>previous research from similar contexts, e.g., planning nature conservation measures (Schenk et al., 2007). In our study, interestingly, procedural issues appeared to be mainly an issue in Western Europe where participatory planning quality tends to be mor</w:t>
      </w:r>
      <w:r>
        <w:t>e advanced. This might be explained</w:t>
      </w:r>
      <w:r>
        <w:rPr>
          <w:spacing w:val="-16"/>
        </w:rPr>
        <w:t xml:space="preserve"> </w:t>
      </w:r>
      <w:r>
        <w:t>by</w:t>
      </w:r>
      <w:r>
        <w:rPr>
          <w:spacing w:val="-20"/>
        </w:rPr>
        <w:t xml:space="preserve"> </w:t>
      </w:r>
      <w:r>
        <w:t>the</w:t>
      </w:r>
      <w:r>
        <w:rPr>
          <w:spacing w:val="-16"/>
        </w:rPr>
        <w:t xml:space="preserve"> </w:t>
      </w:r>
      <w:r>
        <w:t>publics’</w:t>
      </w:r>
      <w:r>
        <w:rPr>
          <w:spacing w:val="-14"/>
        </w:rPr>
        <w:t xml:space="preserve"> </w:t>
      </w:r>
      <w:r>
        <w:t>higher</w:t>
      </w:r>
      <w:r>
        <w:rPr>
          <w:spacing w:val="-13"/>
        </w:rPr>
        <w:t xml:space="preserve"> </w:t>
      </w:r>
      <w:r>
        <w:t>expectations</w:t>
      </w:r>
      <w:r>
        <w:rPr>
          <w:spacing w:val="-14"/>
        </w:rPr>
        <w:t xml:space="preserve"> </w:t>
      </w:r>
      <w:r>
        <w:t>regarding</w:t>
      </w:r>
      <w:r>
        <w:rPr>
          <w:spacing w:val="-17"/>
        </w:rPr>
        <w:t xml:space="preserve"> </w:t>
      </w:r>
      <w:r>
        <w:t>the</w:t>
      </w:r>
      <w:r>
        <w:rPr>
          <w:spacing w:val="-13"/>
        </w:rPr>
        <w:t xml:space="preserve"> </w:t>
      </w:r>
      <w:r>
        <w:t>degree</w:t>
      </w:r>
      <w:r>
        <w:rPr>
          <w:spacing w:val="-15"/>
        </w:rPr>
        <w:t xml:space="preserve"> </w:t>
      </w:r>
      <w:r>
        <w:t>of</w:t>
      </w:r>
      <w:r>
        <w:rPr>
          <w:spacing w:val="-17"/>
        </w:rPr>
        <w:t xml:space="preserve"> </w:t>
      </w:r>
      <w:r>
        <w:t>its</w:t>
      </w:r>
      <w:r>
        <w:rPr>
          <w:spacing w:val="-15"/>
        </w:rPr>
        <w:t xml:space="preserve"> </w:t>
      </w:r>
      <w:r>
        <w:t>involvement</w:t>
      </w:r>
      <w:r>
        <w:rPr>
          <w:spacing w:val="-14"/>
        </w:rPr>
        <w:t xml:space="preserve"> </w:t>
      </w:r>
      <w:r>
        <w:t>(Simcock, 2016).</w:t>
      </w:r>
    </w:p>
    <w:p w:rsidR="00C94252" w:rsidRDefault="00C94252">
      <w:pPr>
        <w:pStyle w:val="Brdtekst"/>
        <w:spacing w:before="1"/>
        <w:rPr>
          <w:sz w:val="21"/>
        </w:rPr>
      </w:pPr>
    </w:p>
    <w:p w:rsidR="00C94252" w:rsidRDefault="00A33443">
      <w:pPr>
        <w:pStyle w:val="Overskrift2"/>
        <w:numPr>
          <w:ilvl w:val="2"/>
          <w:numId w:val="1"/>
        </w:numPr>
        <w:tabs>
          <w:tab w:val="left" w:pos="837"/>
        </w:tabs>
        <w:spacing w:before="1"/>
        <w:jc w:val="both"/>
      </w:pPr>
      <w:r>
        <w:t>Strategic</w:t>
      </w:r>
      <w:r>
        <w:rPr>
          <w:spacing w:val="-1"/>
        </w:rPr>
        <w:t xml:space="preserve"> </w:t>
      </w:r>
      <w:r>
        <w:t>planning</w:t>
      </w:r>
    </w:p>
    <w:p w:rsidR="00C94252" w:rsidRDefault="00A33443">
      <w:pPr>
        <w:pStyle w:val="Brdtekst"/>
        <w:spacing w:before="117"/>
        <w:ind w:left="116" w:right="174"/>
        <w:jc w:val="both"/>
      </w:pPr>
      <w:r>
        <w:t>Strategic planning provides frameworks and visions for balanced territorial development, particularly emphasizing qualities of places and the spatial impacts of decisions (Albrechts, 2006). Therefore, strategic planning of WE not only involves technical an</w:t>
      </w:r>
      <w:r>
        <w:t>alyses but also deals with environmental and socio-economic complexities (Simão et al., 2009).</w:t>
      </w:r>
    </w:p>
    <w:p w:rsidR="00C94252" w:rsidRDefault="00A33443">
      <w:pPr>
        <w:pStyle w:val="Brdtekst"/>
        <w:spacing w:before="159"/>
        <w:ind w:left="116" w:right="170"/>
        <w:jc w:val="both"/>
      </w:pPr>
      <w:r>
        <w:t xml:space="preserve">In our study, the most common strategic planning aspect is the </w:t>
      </w:r>
      <w:r>
        <w:rPr>
          <w:i/>
        </w:rPr>
        <w:t xml:space="preserve">definition of target amount </w:t>
      </w:r>
      <w:r>
        <w:t>of WE. This is likely the result of respective EU-policies and legisla</w:t>
      </w:r>
      <w:r>
        <w:t>tion on renewable energy sources (e.g., the Renewable Energy Directive, 2009). However, other factors, such as the definition</w:t>
      </w:r>
      <w:r>
        <w:rPr>
          <w:spacing w:val="-11"/>
        </w:rPr>
        <w:t xml:space="preserve"> </w:t>
      </w:r>
      <w:r>
        <w:t>of</w:t>
      </w:r>
      <w:r>
        <w:rPr>
          <w:spacing w:val="-12"/>
        </w:rPr>
        <w:t xml:space="preserve"> </w:t>
      </w:r>
      <w:r>
        <w:t>priority</w:t>
      </w:r>
      <w:r>
        <w:rPr>
          <w:spacing w:val="-16"/>
        </w:rPr>
        <w:t xml:space="preserve"> </w:t>
      </w:r>
      <w:r>
        <w:t>areas</w:t>
      </w:r>
      <w:r>
        <w:rPr>
          <w:spacing w:val="-9"/>
        </w:rPr>
        <w:t xml:space="preserve"> </w:t>
      </w:r>
      <w:r>
        <w:t>and</w:t>
      </w:r>
      <w:r>
        <w:rPr>
          <w:spacing w:val="-11"/>
        </w:rPr>
        <w:t xml:space="preserve"> </w:t>
      </w:r>
      <w:r>
        <w:t>participation</w:t>
      </w:r>
      <w:r>
        <w:rPr>
          <w:spacing w:val="-10"/>
        </w:rPr>
        <w:t xml:space="preserve"> </w:t>
      </w:r>
      <w:r>
        <w:t>procedures</w:t>
      </w:r>
      <w:r>
        <w:rPr>
          <w:spacing w:val="-10"/>
        </w:rPr>
        <w:t xml:space="preserve"> </w:t>
      </w:r>
      <w:r>
        <w:t>stand</w:t>
      </w:r>
      <w:r>
        <w:rPr>
          <w:spacing w:val="-11"/>
        </w:rPr>
        <w:t xml:space="preserve"> </w:t>
      </w:r>
      <w:r>
        <w:t>out</w:t>
      </w:r>
      <w:r>
        <w:rPr>
          <w:spacing w:val="-10"/>
        </w:rPr>
        <w:t xml:space="preserve"> </w:t>
      </w:r>
      <w:r>
        <w:t>in</w:t>
      </w:r>
      <w:r>
        <w:rPr>
          <w:spacing w:val="-11"/>
        </w:rPr>
        <w:t xml:space="preserve"> </w:t>
      </w:r>
      <w:r>
        <w:t>the</w:t>
      </w:r>
      <w:r>
        <w:rPr>
          <w:spacing w:val="-12"/>
        </w:rPr>
        <w:t xml:space="preserve"> </w:t>
      </w:r>
      <w:r>
        <w:t>expert</w:t>
      </w:r>
      <w:r>
        <w:rPr>
          <w:spacing w:val="-11"/>
        </w:rPr>
        <w:t xml:space="preserve"> </w:t>
      </w:r>
      <w:r>
        <w:t>assessments,</w:t>
      </w:r>
      <w:r>
        <w:rPr>
          <w:spacing w:val="-9"/>
        </w:rPr>
        <w:t xml:space="preserve"> </w:t>
      </w:r>
      <w:r>
        <w:t xml:space="preserve">and can be important for acceptance. Previous </w:t>
      </w:r>
      <w:r>
        <w:t xml:space="preserve">studies suggest that local authorities often feel unsettled if there are only general siting regulations for WE (Fournis and Fortin, 2017:9). Seeking to organically integrate wind farms into the landscape on a national or regional level can, however, be a </w:t>
      </w:r>
      <w:r>
        <w:t>challenging task: a strategic search for the areas best suitable for WE and being sensitive to local contexts at the same time includes nearly inevitable trade-offs for, e.g. environmental justice (Cowell, 2010). Strategic planning of WE can take various f</w:t>
      </w:r>
      <w:r>
        <w:t>orms and several</w:t>
      </w:r>
      <w:r>
        <w:rPr>
          <w:spacing w:val="-13"/>
        </w:rPr>
        <w:t xml:space="preserve"> </w:t>
      </w:r>
      <w:r>
        <w:t>studies</w:t>
      </w:r>
      <w:r>
        <w:rPr>
          <w:spacing w:val="-12"/>
        </w:rPr>
        <w:t xml:space="preserve"> </w:t>
      </w:r>
      <w:r>
        <w:t>from</w:t>
      </w:r>
      <w:r>
        <w:rPr>
          <w:spacing w:val="-12"/>
        </w:rPr>
        <w:t xml:space="preserve"> </w:t>
      </w:r>
      <w:r>
        <w:t>West</w:t>
      </w:r>
      <w:r>
        <w:rPr>
          <w:spacing w:val="-10"/>
        </w:rPr>
        <w:t xml:space="preserve"> </w:t>
      </w:r>
      <w:r>
        <w:t>Europe,</w:t>
      </w:r>
      <w:r>
        <w:rPr>
          <w:spacing w:val="-13"/>
        </w:rPr>
        <w:t xml:space="preserve"> </w:t>
      </w:r>
      <w:r>
        <w:t>e.g.,</w:t>
      </w:r>
      <w:r>
        <w:rPr>
          <w:spacing w:val="-10"/>
        </w:rPr>
        <w:t xml:space="preserve"> </w:t>
      </w:r>
      <w:r>
        <w:t>France,</w:t>
      </w:r>
      <w:r>
        <w:rPr>
          <w:spacing w:val="-12"/>
        </w:rPr>
        <w:t xml:space="preserve"> </w:t>
      </w:r>
      <w:r>
        <w:t>Germany,</w:t>
      </w:r>
      <w:r>
        <w:rPr>
          <w:spacing w:val="-12"/>
        </w:rPr>
        <w:t xml:space="preserve"> </w:t>
      </w:r>
      <w:r>
        <w:t>Austria</w:t>
      </w:r>
      <w:r>
        <w:rPr>
          <w:spacing w:val="-13"/>
        </w:rPr>
        <w:t xml:space="preserve"> </w:t>
      </w:r>
      <w:r>
        <w:t>(Höltinger</w:t>
      </w:r>
      <w:r>
        <w:rPr>
          <w:spacing w:val="-10"/>
        </w:rPr>
        <w:t xml:space="preserve"> </w:t>
      </w:r>
      <w:r>
        <w:t>et</w:t>
      </w:r>
      <w:r>
        <w:rPr>
          <w:spacing w:val="-12"/>
        </w:rPr>
        <w:t xml:space="preserve"> </w:t>
      </w:r>
      <w:r>
        <w:t>al.,</w:t>
      </w:r>
      <w:r>
        <w:rPr>
          <w:spacing w:val="-12"/>
        </w:rPr>
        <w:t xml:space="preserve"> </w:t>
      </w:r>
      <w:r>
        <w:t>2016;</w:t>
      </w:r>
      <w:r>
        <w:rPr>
          <w:spacing w:val="-12"/>
        </w:rPr>
        <w:t xml:space="preserve"> </w:t>
      </w:r>
      <w:r>
        <w:t>Nadaï</w:t>
      </w:r>
    </w:p>
    <w:p w:rsidR="00C94252" w:rsidRDefault="00C94252">
      <w:pPr>
        <w:jc w:val="both"/>
        <w:sectPr w:rsidR="00C94252">
          <w:pgSz w:w="11900" w:h="16850"/>
          <w:pgMar w:top="1340" w:right="1240" w:bottom="940" w:left="1300" w:header="0" w:footer="751" w:gutter="0"/>
          <w:cols w:space="708"/>
        </w:sectPr>
      </w:pPr>
    </w:p>
    <w:p w:rsidR="00C94252" w:rsidRDefault="00A33443">
      <w:pPr>
        <w:pStyle w:val="Brdtekst"/>
        <w:spacing w:before="69"/>
        <w:ind w:left="116" w:right="169"/>
        <w:jc w:val="both"/>
      </w:pPr>
      <w:r>
        <w:t>and</w:t>
      </w:r>
      <w:r>
        <w:rPr>
          <w:spacing w:val="-9"/>
        </w:rPr>
        <w:t xml:space="preserve"> </w:t>
      </w:r>
      <w:r>
        <w:t>van</w:t>
      </w:r>
      <w:r>
        <w:rPr>
          <w:spacing w:val="-5"/>
        </w:rPr>
        <w:t xml:space="preserve"> </w:t>
      </w:r>
      <w:r>
        <w:t>der</w:t>
      </w:r>
      <w:r>
        <w:rPr>
          <w:spacing w:val="-6"/>
        </w:rPr>
        <w:t xml:space="preserve"> </w:t>
      </w:r>
      <w:r>
        <w:t>Horst,</w:t>
      </w:r>
      <w:r>
        <w:rPr>
          <w:spacing w:val="-6"/>
        </w:rPr>
        <w:t xml:space="preserve"> </w:t>
      </w:r>
      <w:r>
        <w:t>2010;</w:t>
      </w:r>
      <w:r>
        <w:rPr>
          <w:spacing w:val="-5"/>
        </w:rPr>
        <w:t xml:space="preserve"> </w:t>
      </w:r>
      <w:r>
        <w:t>Ohl</w:t>
      </w:r>
      <w:r>
        <w:rPr>
          <w:spacing w:val="-8"/>
        </w:rPr>
        <w:t xml:space="preserve"> </w:t>
      </w:r>
      <w:r>
        <w:t>and</w:t>
      </w:r>
      <w:r>
        <w:rPr>
          <w:spacing w:val="-8"/>
        </w:rPr>
        <w:t xml:space="preserve"> </w:t>
      </w:r>
      <w:r>
        <w:t>Eichhorn,</w:t>
      </w:r>
      <w:r>
        <w:rPr>
          <w:spacing w:val="-7"/>
        </w:rPr>
        <w:t xml:space="preserve"> </w:t>
      </w:r>
      <w:r>
        <w:t>2010)</w:t>
      </w:r>
      <w:r>
        <w:rPr>
          <w:spacing w:val="-7"/>
        </w:rPr>
        <w:t xml:space="preserve"> </w:t>
      </w:r>
      <w:r>
        <w:t>indicate</w:t>
      </w:r>
      <w:r>
        <w:rPr>
          <w:spacing w:val="-7"/>
        </w:rPr>
        <w:t xml:space="preserve"> </w:t>
      </w:r>
      <w:r>
        <w:t>that,</w:t>
      </w:r>
      <w:r>
        <w:rPr>
          <w:spacing w:val="-5"/>
        </w:rPr>
        <w:t xml:space="preserve"> </w:t>
      </w:r>
      <w:r>
        <w:t>e.g.</w:t>
      </w:r>
      <w:r>
        <w:rPr>
          <w:spacing w:val="-8"/>
        </w:rPr>
        <w:t xml:space="preserve"> </w:t>
      </w:r>
      <w:r>
        <w:t>the</w:t>
      </w:r>
      <w:r>
        <w:rPr>
          <w:spacing w:val="-6"/>
        </w:rPr>
        <w:t xml:space="preserve"> </w:t>
      </w:r>
      <w:r>
        <w:t>definition</w:t>
      </w:r>
      <w:r>
        <w:rPr>
          <w:spacing w:val="-6"/>
        </w:rPr>
        <w:t xml:space="preserve"> </w:t>
      </w:r>
      <w:r>
        <w:t>of</w:t>
      </w:r>
      <w:r>
        <w:rPr>
          <w:spacing w:val="-9"/>
        </w:rPr>
        <w:t xml:space="preserve"> </w:t>
      </w:r>
      <w:r>
        <w:t xml:space="preserve">suitability and exclusion zones for WE does not </w:t>
      </w:r>
      <w:r>
        <w:rPr>
          <w:i/>
        </w:rPr>
        <w:t xml:space="preserve">per se </w:t>
      </w:r>
      <w:r>
        <w:t>guarantee higher acceptance, as much depends on the</w:t>
      </w:r>
      <w:r>
        <w:rPr>
          <w:spacing w:val="-12"/>
        </w:rPr>
        <w:t xml:space="preserve"> </w:t>
      </w:r>
      <w:r>
        <w:t>actual</w:t>
      </w:r>
      <w:r>
        <w:rPr>
          <w:spacing w:val="-11"/>
        </w:rPr>
        <w:t xml:space="preserve"> </w:t>
      </w:r>
      <w:r>
        <w:t>procedures.</w:t>
      </w:r>
      <w:r>
        <w:rPr>
          <w:spacing w:val="-8"/>
        </w:rPr>
        <w:t xml:space="preserve"> </w:t>
      </w:r>
      <w:r>
        <w:t>Our</w:t>
      </w:r>
      <w:r>
        <w:rPr>
          <w:spacing w:val="-11"/>
        </w:rPr>
        <w:t xml:space="preserve"> </w:t>
      </w:r>
      <w:r>
        <w:t>results</w:t>
      </w:r>
      <w:r>
        <w:rPr>
          <w:spacing w:val="-9"/>
        </w:rPr>
        <w:t xml:space="preserve"> </w:t>
      </w:r>
      <w:r>
        <w:t>from</w:t>
      </w:r>
      <w:r>
        <w:rPr>
          <w:spacing w:val="-8"/>
        </w:rPr>
        <w:t xml:space="preserve"> </w:t>
      </w:r>
      <w:r>
        <w:t>the</w:t>
      </w:r>
      <w:r>
        <w:rPr>
          <w:spacing w:val="-12"/>
        </w:rPr>
        <w:t xml:space="preserve"> </w:t>
      </w:r>
      <w:r>
        <w:t>linear</w:t>
      </w:r>
      <w:r>
        <w:rPr>
          <w:spacing w:val="-11"/>
        </w:rPr>
        <w:t xml:space="preserve"> </w:t>
      </w:r>
      <w:r>
        <w:t>regression</w:t>
      </w:r>
      <w:r>
        <w:rPr>
          <w:spacing w:val="-9"/>
        </w:rPr>
        <w:t xml:space="preserve"> </w:t>
      </w:r>
      <w:r>
        <w:t>suggest</w:t>
      </w:r>
      <w:r>
        <w:rPr>
          <w:spacing w:val="-10"/>
        </w:rPr>
        <w:t xml:space="preserve"> </w:t>
      </w:r>
      <w:r>
        <w:t>that</w:t>
      </w:r>
      <w:r>
        <w:rPr>
          <w:spacing w:val="-11"/>
        </w:rPr>
        <w:t xml:space="preserve"> </w:t>
      </w:r>
      <w:r>
        <w:t>a</w:t>
      </w:r>
      <w:r>
        <w:rPr>
          <w:spacing w:val="-10"/>
        </w:rPr>
        <w:t xml:space="preserve"> </w:t>
      </w:r>
      <w:r>
        <w:t>more</w:t>
      </w:r>
      <w:r>
        <w:rPr>
          <w:spacing w:val="-11"/>
        </w:rPr>
        <w:t xml:space="preserve"> </w:t>
      </w:r>
      <w:r>
        <w:t>comprehensive strategic planning approach tends to reduce problems with</w:t>
      </w:r>
      <w:r>
        <w:t xml:space="preserve"> resistance, such as stakeholder conflicts, environmental concerns and social justice (</w:t>
      </w:r>
      <w:r>
        <w:rPr>
          <w:b/>
        </w:rPr>
        <w:t xml:space="preserve">Table 3 </w:t>
      </w:r>
      <w:r>
        <w:t xml:space="preserve">above). More specifically, </w:t>
      </w:r>
      <w:r>
        <w:rPr>
          <w:spacing w:val="4"/>
        </w:rPr>
        <w:t xml:space="preserve">we </w:t>
      </w:r>
      <w:r>
        <w:t>found a significant negative correlation between the definition of priority areas and landscape concerns. Hence, the more precisely</w:t>
      </w:r>
      <w:r>
        <w:t xml:space="preserve"> that priority areas are defined, the less likely the development of WE seems to interfere with perceived landscape</w:t>
      </w:r>
      <w:r>
        <w:rPr>
          <w:spacing w:val="-6"/>
        </w:rPr>
        <w:t xml:space="preserve"> </w:t>
      </w:r>
      <w:r>
        <w:t>quality.</w:t>
      </w:r>
    </w:p>
    <w:p w:rsidR="00C94252" w:rsidRDefault="00C94252">
      <w:pPr>
        <w:pStyle w:val="Brdtekst"/>
        <w:spacing w:before="4"/>
        <w:rPr>
          <w:sz w:val="21"/>
        </w:rPr>
      </w:pPr>
    </w:p>
    <w:p w:rsidR="00C94252" w:rsidRDefault="00A33443">
      <w:pPr>
        <w:pStyle w:val="Overskrift2"/>
        <w:numPr>
          <w:ilvl w:val="2"/>
          <w:numId w:val="1"/>
        </w:numPr>
        <w:tabs>
          <w:tab w:val="left" w:pos="837"/>
        </w:tabs>
        <w:jc w:val="both"/>
      </w:pPr>
      <w:r>
        <w:t>Local planning</w:t>
      </w:r>
    </w:p>
    <w:p w:rsidR="00C94252" w:rsidRDefault="00A33443">
      <w:pPr>
        <w:pStyle w:val="Brdtekst"/>
        <w:spacing w:before="115"/>
        <w:ind w:left="116" w:right="171"/>
        <w:jc w:val="both"/>
      </w:pPr>
      <w:r>
        <w:t>WE</w:t>
      </w:r>
      <w:r>
        <w:rPr>
          <w:spacing w:val="-15"/>
        </w:rPr>
        <w:t xml:space="preserve"> </w:t>
      </w:r>
      <w:r>
        <w:t>impacts</w:t>
      </w:r>
      <w:r>
        <w:rPr>
          <w:spacing w:val="-12"/>
        </w:rPr>
        <w:t xml:space="preserve"> </w:t>
      </w:r>
      <w:r>
        <w:t>become</w:t>
      </w:r>
      <w:r>
        <w:rPr>
          <w:spacing w:val="-15"/>
        </w:rPr>
        <w:t xml:space="preserve"> </w:t>
      </w:r>
      <w:r>
        <w:t>most</w:t>
      </w:r>
      <w:r>
        <w:rPr>
          <w:spacing w:val="-12"/>
        </w:rPr>
        <w:t xml:space="preserve"> </w:t>
      </w:r>
      <w:r>
        <w:t>discernible</w:t>
      </w:r>
      <w:r>
        <w:rPr>
          <w:spacing w:val="-15"/>
        </w:rPr>
        <w:t xml:space="preserve"> </w:t>
      </w:r>
      <w:r>
        <w:t>at</w:t>
      </w:r>
      <w:r>
        <w:rPr>
          <w:spacing w:val="-13"/>
        </w:rPr>
        <w:t xml:space="preserve"> </w:t>
      </w:r>
      <w:r>
        <w:t>the</w:t>
      </w:r>
      <w:r>
        <w:rPr>
          <w:spacing w:val="-15"/>
        </w:rPr>
        <w:t xml:space="preserve"> </w:t>
      </w:r>
      <w:r>
        <w:t>local</w:t>
      </w:r>
      <w:r>
        <w:rPr>
          <w:spacing w:val="-13"/>
        </w:rPr>
        <w:t xml:space="preserve"> </w:t>
      </w:r>
      <w:r>
        <w:t>level.</w:t>
      </w:r>
      <w:r>
        <w:rPr>
          <w:spacing w:val="-14"/>
        </w:rPr>
        <w:t xml:space="preserve"> </w:t>
      </w:r>
      <w:r>
        <w:t>Previous</w:t>
      </w:r>
      <w:r>
        <w:rPr>
          <w:spacing w:val="-12"/>
        </w:rPr>
        <w:t xml:space="preserve"> </w:t>
      </w:r>
      <w:r>
        <w:t>studies</w:t>
      </w:r>
      <w:r>
        <w:rPr>
          <w:spacing w:val="-14"/>
        </w:rPr>
        <w:t xml:space="preserve"> </w:t>
      </w:r>
      <w:r>
        <w:t>underline</w:t>
      </w:r>
      <w:r>
        <w:rPr>
          <w:spacing w:val="-13"/>
        </w:rPr>
        <w:t xml:space="preserve"> </w:t>
      </w:r>
      <w:r>
        <w:t>that</w:t>
      </w:r>
      <w:r>
        <w:rPr>
          <w:spacing w:val="-14"/>
        </w:rPr>
        <w:t xml:space="preserve"> </w:t>
      </w:r>
      <w:r>
        <w:t>the</w:t>
      </w:r>
      <w:r>
        <w:rPr>
          <w:spacing w:val="-14"/>
        </w:rPr>
        <w:t xml:space="preserve"> </w:t>
      </w:r>
      <w:r>
        <w:t xml:space="preserve">ways in which local planning procedures are exercised can affect acceptance to a great extent (Enevoldsen and Sovacool, 2016; Rydin et al., 2015; Silva and Delicado, 2017). We found a strong negative correlation between </w:t>
      </w:r>
      <w:r>
        <w:rPr>
          <w:i/>
        </w:rPr>
        <w:t xml:space="preserve">communication time </w:t>
      </w:r>
      <w:r>
        <w:t>and different acc</w:t>
      </w:r>
      <w:r>
        <w:t>eptance factors, namely local image, landscape and lack of identification with the project. This supports the argument found in many of existing studies that earlier communication is needed to achieve higher acceptance levels (Eiter and Vik, 2015; Langer e</w:t>
      </w:r>
      <w:r>
        <w:t>t al., 2017; Schenk et al.,</w:t>
      </w:r>
      <w:r>
        <w:rPr>
          <w:spacing w:val="-5"/>
        </w:rPr>
        <w:t xml:space="preserve"> </w:t>
      </w:r>
      <w:r>
        <w:t>2007).</w:t>
      </w:r>
    </w:p>
    <w:p w:rsidR="00C94252" w:rsidRDefault="00A33443">
      <w:pPr>
        <w:pStyle w:val="Brdtekst"/>
        <w:spacing w:before="162"/>
        <w:ind w:left="116" w:right="169"/>
        <w:jc w:val="both"/>
      </w:pPr>
      <w:r>
        <w:t xml:space="preserve">The </w:t>
      </w:r>
      <w:r>
        <w:rPr>
          <w:i/>
        </w:rPr>
        <w:t xml:space="preserve">influence of different actors </w:t>
      </w:r>
      <w:r>
        <w:t>appears to be strongly associated with several of the reasons for resistance, yet having mixed effects. We found that the less influence actors have the more likely it is that problems wi</w:t>
      </w:r>
      <w:r>
        <w:t>th social justice, participation and conflictive situations can arise. Some</w:t>
      </w:r>
      <w:r>
        <w:rPr>
          <w:spacing w:val="-5"/>
        </w:rPr>
        <w:t xml:space="preserve"> </w:t>
      </w:r>
      <w:r>
        <w:t>earlier</w:t>
      </w:r>
      <w:r>
        <w:rPr>
          <w:spacing w:val="-4"/>
        </w:rPr>
        <w:t xml:space="preserve"> </w:t>
      </w:r>
      <w:r>
        <w:t>studies</w:t>
      </w:r>
      <w:r>
        <w:rPr>
          <w:spacing w:val="-3"/>
        </w:rPr>
        <w:t xml:space="preserve"> </w:t>
      </w:r>
      <w:r>
        <w:t>(e.g.,</w:t>
      </w:r>
      <w:r>
        <w:rPr>
          <w:spacing w:val="-3"/>
        </w:rPr>
        <w:t xml:space="preserve"> </w:t>
      </w:r>
      <w:r>
        <w:t>Buchecker</w:t>
      </w:r>
      <w:r>
        <w:rPr>
          <w:spacing w:val="-4"/>
        </w:rPr>
        <w:t xml:space="preserve"> </w:t>
      </w:r>
      <w:r>
        <w:t>et</w:t>
      </w:r>
      <w:r>
        <w:rPr>
          <w:spacing w:val="-3"/>
        </w:rPr>
        <w:t xml:space="preserve"> </w:t>
      </w:r>
      <w:r>
        <w:t>al.</w:t>
      </w:r>
      <w:r>
        <w:rPr>
          <w:spacing w:val="-3"/>
        </w:rPr>
        <w:t xml:space="preserve"> </w:t>
      </w:r>
      <w:r>
        <w:t>(2013))</w:t>
      </w:r>
      <w:r>
        <w:rPr>
          <w:spacing w:val="-3"/>
        </w:rPr>
        <w:t xml:space="preserve"> </w:t>
      </w:r>
      <w:r>
        <w:t>also</w:t>
      </w:r>
      <w:r>
        <w:rPr>
          <w:spacing w:val="-4"/>
        </w:rPr>
        <w:t xml:space="preserve"> </w:t>
      </w:r>
      <w:r>
        <w:t>support</w:t>
      </w:r>
      <w:r>
        <w:rPr>
          <w:spacing w:val="-4"/>
        </w:rPr>
        <w:t xml:space="preserve"> </w:t>
      </w:r>
      <w:r>
        <w:t>this.</w:t>
      </w:r>
      <w:r>
        <w:rPr>
          <w:spacing w:val="-3"/>
        </w:rPr>
        <w:t xml:space="preserve"> </w:t>
      </w:r>
      <w:r>
        <w:t>On</w:t>
      </w:r>
      <w:r>
        <w:rPr>
          <w:spacing w:val="-6"/>
        </w:rPr>
        <w:t xml:space="preserve"> </w:t>
      </w:r>
      <w:r>
        <w:t>the</w:t>
      </w:r>
      <w:r>
        <w:rPr>
          <w:spacing w:val="-4"/>
        </w:rPr>
        <w:t xml:space="preserve"> </w:t>
      </w:r>
      <w:r>
        <w:t>contrary,</w:t>
      </w:r>
      <w:r>
        <w:rPr>
          <w:spacing w:val="-3"/>
        </w:rPr>
        <w:t xml:space="preserve"> </w:t>
      </w:r>
      <w:r>
        <w:t>the</w:t>
      </w:r>
      <w:r>
        <w:rPr>
          <w:spacing w:val="-4"/>
        </w:rPr>
        <w:t xml:space="preserve"> </w:t>
      </w:r>
      <w:r>
        <w:t>more influence</w:t>
      </w:r>
      <w:r>
        <w:rPr>
          <w:spacing w:val="-12"/>
        </w:rPr>
        <w:t xml:space="preserve"> </w:t>
      </w:r>
      <w:r>
        <w:t>actors</w:t>
      </w:r>
      <w:r>
        <w:rPr>
          <w:spacing w:val="-11"/>
        </w:rPr>
        <w:t xml:space="preserve"> </w:t>
      </w:r>
      <w:r>
        <w:t>have,</w:t>
      </w:r>
      <w:r>
        <w:rPr>
          <w:spacing w:val="-11"/>
        </w:rPr>
        <w:t xml:space="preserve"> </w:t>
      </w:r>
      <w:r>
        <w:t>the</w:t>
      </w:r>
      <w:r>
        <w:rPr>
          <w:spacing w:val="-9"/>
        </w:rPr>
        <w:t xml:space="preserve"> </w:t>
      </w:r>
      <w:r>
        <w:t>more</w:t>
      </w:r>
      <w:r>
        <w:rPr>
          <w:spacing w:val="-12"/>
        </w:rPr>
        <w:t xml:space="preserve"> </w:t>
      </w:r>
      <w:r>
        <w:t>there</w:t>
      </w:r>
      <w:r>
        <w:rPr>
          <w:spacing w:val="-12"/>
        </w:rPr>
        <w:t xml:space="preserve"> </w:t>
      </w:r>
      <w:r>
        <w:t>tends</w:t>
      </w:r>
      <w:r>
        <w:rPr>
          <w:spacing w:val="-11"/>
        </w:rPr>
        <w:t xml:space="preserve"> </w:t>
      </w:r>
      <w:r>
        <w:t>to</w:t>
      </w:r>
      <w:r>
        <w:rPr>
          <w:spacing w:val="-11"/>
        </w:rPr>
        <w:t xml:space="preserve"> </w:t>
      </w:r>
      <w:r>
        <w:t>be</w:t>
      </w:r>
      <w:r>
        <w:rPr>
          <w:spacing w:val="-12"/>
        </w:rPr>
        <w:t xml:space="preserve"> </w:t>
      </w:r>
      <w:r>
        <w:t>problems</w:t>
      </w:r>
      <w:r>
        <w:rPr>
          <w:spacing w:val="-10"/>
        </w:rPr>
        <w:t xml:space="preserve"> </w:t>
      </w:r>
      <w:r>
        <w:t>with</w:t>
      </w:r>
      <w:r>
        <w:rPr>
          <w:spacing w:val="-10"/>
        </w:rPr>
        <w:t xml:space="preserve"> </w:t>
      </w:r>
      <w:r>
        <w:t>landscape</w:t>
      </w:r>
      <w:r>
        <w:rPr>
          <w:spacing w:val="-12"/>
        </w:rPr>
        <w:t xml:space="preserve"> </w:t>
      </w:r>
      <w:r>
        <w:t>and</w:t>
      </w:r>
      <w:r>
        <w:rPr>
          <w:spacing w:val="-11"/>
        </w:rPr>
        <w:t xml:space="preserve"> </w:t>
      </w:r>
      <w:r>
        <w:t>local</w:t>
      </w:r>
      <w:r>
        <w:rPr>
          <w:spacing w:val="-10"/>
        </w:rPr>
        <w:t xml:space="preserve"> </w:t>
      </w:r>
      <w:r>
        <w:t>image.</w:t>
      </w:r>
      <w:r>
        <w:rPr>
          <w:spacing w:val="-11"/>
        </w:rPr>
        <w:t xml:space="preserve"> </w:t>
      </w:r>
      <w:r>
        <w:t>This might mean that involvement of selected stakeholders does not solve these issues adequately: more</w:t>
      </w:r>
      <w:r>
        <w:rPr>
          <w:spacing w:val="-6"/>
        </w:rPr>
        <w:t xml:space="preserve"> </w:t>
      </w:r>
      <w:r>
        <w:t>innovative</w:t>
      </w:r>
      <w:r>
        <w:rPr>
          <w:spacing w:val="-6"/>
        </w:rPr>
        <w:t xml:space="preserve"> </w:t>
      </w:r>
      <w:r>
        <w:t>or</w:t>
      </w:r>
      <w:r>
        <w:rPr>
          <w:spacing w:val="-6"/>
        </w:rPr>
        <w:t xml:space="preserve"> </w:t>
      </w:r>
      <w:r>
        <w:t>inclusive</w:t>
      </w:r>
      <w:r>
        <w:rPr>
          <w:spacing w:val="-5"/>
        </w:rPr>
        <w:t xml:space="preserve"> </w:t>
      </w:r>
      <w:r>
        <w:t>forms</w:t>
      </w:r>
      <w:r>
        <w:rPr>
          <w:spacing w:val="-5"/>
        </w:rPr>
        <w:t xml:space="preserve"> </w:t>
      </w:r>
      <w:r>
        <w:t>of</w:t>
      </w:r>
      <w:r>
        <w:rPr>
          <w:spacing w:val="-6"/>
        </w:rPr>
        <w:t xml:space="preserve"> </w:t>
      </w:r>
      <w:r>
        <w:t>participation</w:t>
      </w:r>
      <w:r>
        <w:rPr>
          <w:spacing w:val="-4"/>
        </w:rPr>
        <w:t xml:space="preserve"> </w:t>
      </w:r>
      <w:r>
        <w:t>could</w:t>
      </w:r>
      <w:r>
        <w:rPr>
          <w:spacing w:val="-3"/>
        </w:rPr>
        <w:t xml:space="preserve"> </w:t>
      </w:r>
      <w:r>
        <w:t>be</w:t>
      </w:r>
      <w:r>
        <w:rPr>
          <w:spacing w:val="-6"/>
        </w:rPr>
        <w:t xml:space="preserve"> </w:t>
      </w:r>
      <w:r>
        <w:t>needed.</w:t>
      </w:r>
      <w:r>
        <w:rPr>
          <w:spacing w:val="-3"/>
        </w:rPr>
        <w:t xml:space="preserve"> </w:t>
      </w:r>
      <w:r>
        <w:t>For</w:t>
      </w:r>
      <w:r>
        <w:rPr>
          <w:spacing w:val="-6"/>
        </w:rPr>
        <w:t xml:space="preserve"> </w:t>
      </w:r>
      <w:r>
        <w:t>example,</w:t>
      </w:r>
      <w:r>
        <w:rPr>
          <w:spacing w:val="-4"/>
        </w:rPr>
        <w:t xml:space="preserve"> </w:t>
      </w:r>
      <w:r>
        <w:t>a</w:t>
      </w:r>
      <w:r>
        <w:rPr>
          <w:spacing w:val="-6"/>
        </w:rPr>
        <w:t xml:space="preserve"> </w:t>
      </w:r>
      <w:r>
        <w:t>case</w:t>
      </w:r>
      <w:r>
        <w:rPr>
          <w:spacing w:val="-6"/>
        </w:rPr>
        <w:t xml:space="preserve"> </w:t>
      </w:r>
      <w:r>
        <w:t>study on local planning of WE in Sweden showed that the proces</w:t>
      </w:r>
      <w:r>
        <w:t xml:space="preserve">ses often include governmental actors but exclude others (Gustafsson et al., 2015). A study of Frantál et al. (2017) about wind farms in Iceland showed that new methods like mental mapping could be beneficially utilized to involve various actors in the WE </w:t>
      </w:r>
      <w:r>
        <w:t>planning</w:t>
      </w:r>
      <w:r>
        <w:rPr>
          <w:spacing w:val="-5"/>
        </w:rPr>
        <w:t xml:space="preserve"> </w:t>
      </w:r>
      <w:r>
        <w:t>processes.</w:t>
      </w:r>
    </w:p>
    <w:p w:rsidR="00C94252" w:rsidRDefault="00C94252">
      <w:pPr>
        <w:pStyle w:val="Brdtekst"/>
        <w:spacing w:before="1"/>
        <w:rPr>
          <w:sz w:val="21"/>
        </w:rPr>
      </w:pPr>
    </w:p>
    <w:p w:rsidR="00C94252" w:rsidRDefault="00A33443">
      <w:pPr>
        <w:pStyle w:val="Overskrift2"/>
        <w:numPr>
          <w:ilvl w:val="2"/>
          <w:numId w:val="1"/>
        </w:numPr>
        <w:tabs>
          <w:tab w:val="left" w:pos="837"/>
        </w:tabs>
        <w:spacing w:before="1"/>
        <w:jc w:val="both"/>
      </w:pPr>
      <w:r>
        <w:t>Contextual aspects</w:t>
      </w:r>
    </w:p>
    <w:p w:rsidR="00C94252" w:rsidRDefault="00A33443">
      <w:pPr>
        <w:pStyle w:val="Brdtekst"/>
        <w:spacing w:before="117"/>
        <w:ind w:left="116" w:right="169"/>
        <w:jc w:val="both"/>
      </w:pPr>
      <w:r>
        <w:t xml:space="preserve">Our study suggests that two variables – </w:t>
      </w:r>
      <w:r>
        <w:rPr>
          <w:i/>
        </w:rPr>
        <w:t xml:space="preserve">lack of social capital </w:t>
      </w:r>
      <w:r>
        <w:t xml:space="preserve">and </w:t>
      </w:r>
      <w:r>
        <w:rPr>
          <w:i/>
        </w:rPr>
        <w:t xml:space="preserve">lack of finances </w:t>
      </w:r>
      <w:r>
        <w:t>– tend to be correlated with the reasons for resistance. The more social capital is lacking (for local initiatives),</w:t>
      </w:r>
      <w:r>
        <w:rPr>
          <w:spacing w:val="-4"/>
        </w:rPr>
        <w:t xml:space="preserve"> </w:t>
      </w:r>
      <w:r>
        <w:t>the</w:t>
      </w:r>
      <w:r>
        <w:rPr>
          <w:spacing w:val="-4"/>
        </w:rPr>
        <w:t xml:space="preserve"> </w:t>
      </w:r>
      <w:r>
        <w:t>less</w:t>
      </w:r>
      <w:r>
        <w:rPr>
          <w:spacing w:val="-6"/>
        </w:rPr>
        <w:t xml:space="preserve"> </w:t>
      </w:r>
      <w:r>
        <w:t>landsc</w:t>
      </w:r>
      <w:r>
        <w:t>ape</w:t>
      </w:r>
      <w:r>
        <w:rPr>
          <w:spacing w:val="-4"/>
        </w:rPr>
        <w:t xml:space="preserve"> </w:t>
      </w:r>
      <w:r>
        <w:t>is</w:t>
      </w:r>
      <w:r>
        <w:rPr>
          <w:spacing w:val="-4"/>
        </w:rPr>
        <w:t xml:space="preserve"> </w:t>
      </w:r>
      <w:r>
        <w:t>a</w:t>
      </w:r>
      <w:r>
        <w:rPr>
          <w:spacing w:val="-5"/>
        </w:rPr>
        <w:t xml:space="preserve"> </w:t>
      </w:r>
      <w:r>
        <w:t>problem</w:t>
      </w:r>
      <w:r>
        <w:rPr>
          <w:spacing w:val="-3"/>
        </w:rPr>
        <w:t xml:space="preserve"> </w:t>
      </w:r>
      <w:r>
        <w:t>–</w:t>
      </w:r>
      <w:r>
        <w:rPr>
          <w:spacing w:val="-4"/>
        </w:rPr>
        <w:t xml:space="preserve"> </w:t>
      </w:r>
      <w:r>
        <w:t>this</w:t>
      </w:r>
      <w:r>
        <w:rPr>
          <w:spacing w:val="-6"/>
        </w:rPr>
        <w:t xml:space="preserve"> </w:t>
      </w:r>
      <w:r>
        <w:t>implies</w:t>
      </w:r>
      <w:r>
        <w:rPr>
          <w:spacing w:val="-3"/>
        </w:rPr>
        <w:t xml:space="preserve"> </w:t>
      </w:r>
      <w:r>
        <w:t>that</w:t>
      </w:r>
      <w:r>
        <w:rPr>
          <w:spacing w:val="-4"/>
        </w:rPr>
        <w:t xml:space="preserve"> </w:t>
      </w:r>
      <w:r>
        <w:t>landscape</w:t>
      </w:r>
      <w:r>
        <w:rPr>
          <w:spacing w:val="-5"/>
        </w:rPr>
        <w:t xml:space="preserve"> </w:t>
      </w:r>
      <w:r>
        <w:t>sensitivity</w:t>
      </w:r>
      <w:r>
        <w:rPr>
          <w:spacing w:val="-10"/>
        </w:rPr>
        <w:t xml:space="preserve"> </w:t>
      </w:r>
      <w:r>
        <w:t>is</w:t>
      </w:r>
      <w:r>
        <w:rPr>
          <w:spacing w:val="-3"/>
        </w:rPr>
        <w:t xml:space="preserve"> </w:t>
      </w:r>
      <w:r>
        <w:t>related</w:t>
      </w:r>
      <w:r>
        <w:rPr>
          <w:spacing w:val="-4"/>
        </w:rPr>
        <w:t xml:space="preserve"> </w:t>
      </w:r>
      <w:r>
        <w:t>to the local sense of community and local identity (Bamert et al., 2016). This also explains why stakeholder involvement is not sufficient to decrease this aspect of resistance. In addit</w:t>
      </w:r>
      <w:r>
        <w:t>ion, our study shows that the more finances (for initiating community projects) are lacking, the more likely it is that social justice, landscape, environment and conflicts are perceived as problems. If financial resources rather than social capital inhibi</w:t>
      </w:r>
      <w:r>
        <w:t>t a community initiative, people are more prepared to defend their landscape as an asset that represents their social</w:t>
      </w:r>
      <w:r>
        <w:rPr>
          <w:spacing w:val="-2"/>
        </w:rPr>
        <w:t xml:space="preserve"> </w:t>
      </w:r>
      <w:r>
        <w:t>identity.</w:t>
      </w:r>
    </w:p>
    <w:p w:rsidR="00C94252" w:rsidRDefault="00C94252">
      <w:pPr>
        <w:pStyle w:val="Brdtekst"/>
        <w:spacing w:before="7"/>
        <w:rPr>
          <w:sz w:val="31"/>
        </w:rPr>
      </w:pPr>
    </w:p>
    <w:p w:rsidR="00C94252" w:rsidRDefault="00A33443">
      <w:pPr>
        <w:pStyle w:val="Overskrift1"/>
        <w:jc w:val="both"/>
      </w:pPr>
      <w:r>
        <w:t>5.3. Limitations and future research</w:t>
      </w:r>
    </w:p>
    <w:p w:rsidR="00C94252" w:rsidRDefault="00A33443">
      <w:pPr>
        <w:pStyle w:val="Brdtekst"/>
        <w:spacing w:before="117"/>
        <w:ind w:left="116" w:right="172"/>
        <w:jc w:val="both"/>
      </w:pPr>
      <w:r>
        <w:t>Our study provides a general overview of resistance reasons across Europe and some insight into differences between various regions. However, the results should be interpreted with certain considerations in mind. First, the accuracy of our results directly</w:t>
      </w:r>
      <w:r>
        <w:t xml:space="preserve"> depends on the respondents’</w:t>
      </w:r>
      <w:r>
        <w:rPr>
          <w:spacing w:val="-4"/>
        </w:rPr>
        <w:t xml:space="preserve"> </w:t>
      </w:r>
      <w:r>
        <w:t>knowledge</w:t>
      </w:r>
      <w:r>
        <w:rPr>
          <w:spacing w:val="-2"/>
        </w:rPr>
        <w:t xml:space="preserve"> </w:t>
      </w:r>
      <w:r>
        <w:t>of</w:t>
      </w:r>
      <w:r>
        <w:rPr>
          <w:spacing w:val="-4"/>
        </w:rPr>
        <w:t xml:space="preserve"> </w:t>
      </w:r>
      <w:r>
        <w:t>the</w:t>
      </w:r>
      <w:r>
        <w:rPr>
          <w:spacing w:val="-4"/>
        </w:rPr>
        <w:t xml:space="preserve"> </w:t>
      </w:r>
      <w:r>
        <w:t>situation</w:t>
      </w:r>
      <w:r>
        <w:rPr>
          <w:spacing w:val="-3"/>
        </w:rPr>
        <w:t xml:space="preserve"> </w:t>
      </w:r>
      <w:r>
        <w:t>in</w:t>
      </w:r>
      <w:r>
        <w:rPr>
          <w:spacing w:val="-4"/>
        </w:rPr>
        <w:t xml:space="preserve"> </w:t>
      </w:r>
      <w:r>
        <w:t>their</w:t>
      </w:r>
      <w:r>
        <w:rPr>
          <w:spacing w:val="-5"/>
        </w:rPr>
        <w:t xml:space="preserve"> </w:t>
      </w:r>
      <w:r>
        <w:t>country.</w:t>
      </w:r>
      <w:r>
        <w:rPr>
          <w:spacing w:val="-3"/>
        </w:rPr>
        <w:t xml:space="preserve"> </w:t>
      </w:r>
      <w:r>
        <w:t>To</w:t>
      </w:r>
      <w:r>
        <w:rPr>
          <w:spacing w:val="-4"/>
        </w:rPr>
        <w:t xml:space="preserve"> </w:t>
      </w:r>
      <w:r>
        <w:t>increase</w:t>
      </w:r>
      <w:r>
        <w:rPr>
          <w:spacing w:val="-4"/>
        </w:rPr>
        <w:t xml:space="preserve"> </w:t>
      </w:r>
      <w:r>
        <w:t>validity</w:t>
      </w:r>
      <w:r>
        <w:rPr>
          <w:spacing w:val="-10"/>
        </w:rPr>
        <w:t xml:space="preserve"> </w:t>
      </w:r>
      <w:r>
        <w:t>of</w:t>
      </w:r>
      <w:r>
        <w:rPr>
          <w:spacing w:val="-4"/>
        </w:rPr>
        <w:t xml:space="preserve"> </w:t>
      </w:r>
      <w:r>
        <w:t>the</w:t>
      </w:r>
      <w:r>
        <w:rPr>
          <w:spacing w:val="-4"/>
        </w:rPr>
        <w:t xml:space="preserve"> </w:t>
      </w:r>
      <w:r>
        <w:t>results,</w:t>
      </w:r>
      <w:r>
        <w:rPr>
          <w:spacing w:val="-3"/>
        </w:rPr>
        <w:t xml:space="preserve"> </w:t>
      </w:r>
      <w:r>
        <w:t>we incorporated questions about experts’ level of knowledge (Q3, 4 and 5) and included these variables</w:t>
      </w:r>
      <w:r>
        <w:rPr>
          <w:spacing w:val="-4"/>
        </w:rPr>
        <w:t xml:space="preserve"> </w:t>
      </w:r>
      <w:r>
        <w:t>in</w:t>
      </w:r>
      <w:r>
        <w:rPr>
          <w:spacing w:val="-4"/>
        </w:rPr>
        <w:t xml:space="preserve"> </w:t>
      </w:r>
      <w:r>
        <w:t>the</w:t>
      </w:r>
      <w:r>
        <w:rPr>
          <w:spacing w:val="-5"/>
        </w:rPr>
        <w:t xml:space="preserve"> </w:t>
      </w:r>
      <w:r>
        <w:t>regression</w:t>
      </w:r>
      <w:r>
        <w:rPr>
          <w:spacing w:val="-2"/>
        </w:rPr>
        <w:t xml:space="preserve"> </w:t>
      </w:r>
      <w:r>
        <w:t>analyses</w:t>
      </w:r>
      <w:r>
        <w:rPr>
          <w:spacing w:val="-3"/>
        </w:rPr>
        <w:t xml:space="preserve"> </w:t>
      </w:r>
      <w:r>
        <w:t>to</w:t>
      </w:r>
      <w:r>
        <w:rPr>
          <w:spacing w:val="-4"/>
        </w:rPr>
        <w:t xml:space="preserve"> </w:t>
      </w:r>
      <w:r>
        <w:t>control</w:t>
      </w:r>
      <w:r>
        <w:rPr>
          <w:spacing w:val="-4"/>
        </w:rPr>
        <w:t xml:space="preserve"> </w:t>
      </w:r>
      <w:r>
        <w:t>for</w:t>
      </w:r>
      <w:r>
        <w:rPr>
          <w:spacing w:val="-4"/>
        </w:rPr>
        <w:t xml:space="preserve"> </w:t>
      </w:r>
      <w:r>
        <w:t>the</w:t>
      </w:r>
      <w:r>
        <w:rPr>
          <w:spacing w:val="-4"/>
        </w:rPr>
        <w:t xml:space="preserve"> </w:t>
      </w:r>
      <w:r>
        <w:t>knowledge</w:t>
      </w:r>
      <w:r>
        <w:rPr>
          <w:spacing w:val="-2"/>
        </w:rPr>
        <w:t xml:space="preserve"> </w:t>
      </w:r>
      <w:r>
        <w:t>effect.</w:t>
      </w:r>
      <w:r>
        <w:rPr>
          <w:spacing w:val="-3"/>
        </w:rPr>
        <w:t xml:space="preserve"> </w:t>
      </w:r>
      <w:r>
        <w:t>Second,</w:t>
      </w:r>
      <w:r>
        <w:rPr>
          <w:spacing w:val="-3"/>
        </w:rPr>
        <w:t xml:space="preserve"> </w:t>
      </w:r>
      <w:r>
        <w:t>related</w:t>
      </w:r>
      <w:r>
        <w:rPr>
          <w:spacing w:val="-3"/>
        </w:rPr>
        <w:t xml:space="preserve"> </w:t>
      </w:r>
      <w:r>
        <w:t>to</w:t>
      </w:r>
      <w:r>
        <w:rPr>
          <w:spacing w:val="-4"/>
        </w:rPr>
        <w:t xml:space="preserve"> </w:t>
      </w:r>
      <w:r>
        <w:t>this, the</w:t>
      </w:r>
      <w:r>
        <w:rPr>
          <w:spacing w:val="21"/>
        </w:rPr>
        <w:t xml:space="preserve"> </w:t>
      </w:r>
      <w:r>
        <w:t>experts</w:t>
      </w:r>
      <w:r>
        <w:rPr>
          <w:spacing w:val="23"/>
        </w:rPr>
        <w:t xml:space="preserve"> </w:t>
      </w:r>
      <w:r>
        <w:t>assess</w:t>
      </w:r>
      <w:r>
        <w:rPr>
          <w:spacing w:val="22"/>
        </w:rPr>
        <w:t xml:space="preserve"> </w:t>
      </w:r>
      <w:r>
        <w:t>all</w:t>
      </w:r>
      <w:r>
        <w:rPr>
          <w:spacing w:val="24"/>
        </w:rPr>
        <w:t xml:space="preserve"> </w:t>
      </w:r>
      <w:r>
        <w:t>aspects</w:t>
      </w:r>
      <w:r>
        <w:rPr>
          <w:spacing w:val="24"/>
        </w:rPr>
        <w:t xml:space="preserve"> </w:t>
      </w:r>
      <w:r>
        <w:t>from</w:t>
      </w:r>
      <w:r>
        <w:rPr>
          <w:spacing w:val="22"/>
        </w:rPr>
        <w:t xml:space="preserve"> </w:t>
      </w:r>
      <w:r>
        <w:t>their</w:t>
      </w:r>
      <w:r>
        <w:rPr>
          <w:spacing w:val="22"/>
        </w:rPr>
        <w:t xml:space="preserve"> </w:t>
      </w:r>
      <w:r>
        <w:t>perspectives:</w:t>
      </w:r>
      <w:r>
        <w:rPr>
          <w:spacing w:val="24"/>
        </w:rPr>
        <w:t xml:space="preserve"> </w:t>
      </w:r>
      <w:r>
        <w:t>the</w:t>
      </w:r>
      <w:r>
        <w:rPr>
          <w:spacing w:val="21"/>
        </w:rPr>
        <w:t xml:space="preserve"> </w:t>
      </w:r>
      <w:r>
        <w:t>correlations</w:t>
      </w:r>
      <w:r>
        <w:rPr>
          <w:spacing w:val="23"/>
        </w:rPr>
        <w:t xml:space="preserve"> </w:t>
      </w:r>
      <w:r>
        <w:t>express</w:t>
      </w:r>
      <w:r>
        <w:rPr>
          <w:spacing w:val="23"/>
        </w:rPr>
        <w:t xml:space="preserve"> </w:t>
      </w:r>
      <w:r>
        <w:t>intra-personal</w:t>
      </w:r>
    </w:p>
    <w:p w:rsidR="00C94252" w:rsidRDefault="00C94252">
      <w:pPr>
        <w:jc w:val="both"/>
        <w:sectPr w:rsidR="00C94252">
          <w:pgSz w:w="11900" w:h="16850"/>
          <w:pgMar w:top="1340" w:right="1240" w:bottom="940" w:left="1300" w:header="0" w:footer="751" w:gutter="0"/>
          <w:cols w:space="708"/>
        </w:sectPr>
      </w:pPr>
    </w:p>
    <w:p w:rsidR="00C94252" w:rsidRDefault="00A33443">
      <w:pPr>
        <w:pStyle w:val="Brdtekst"/>
        <w:spacing w:before="69"/>
        <w:ind w:left="116" w:right="170"/>
        <w:jc w:val="both"/>
      </w:pPr>
      <w:r>
        <w:t xml:space="preserve">correlations, which are therefore subject to personal (positive or negative) biases (Poortinga </w:t>
      </w:r>
      <w:r>
        <w:t>and</w:t>
      </w:r>
      <w:r>
        <w:rPr>
          <w:spacing w:val="-13"/>
        </w:rPr>
        <w:t xml:space="preserve"> </w:t>
      </w:r>
      <w:r>
        <w:t>Pidgeon,</w:t>
      </w:r>
      <w:r>
        <w:rPr>
          <w:spacing w:val="-14"/>
        </w:rPr>
        <w:t xml:space="preserve"> </w:t>
      </w:r>
      <w:r>
        <w:t>2004).</w:t>
      </w:r>
      <w:r>
        <w:rPr>
          <w:spacing w:val="-11"/>
        </w:rPr>
        <w:t xml:space="preserve"> </w:t>
      </w:r>
      <w:r>
        <w:t>This</w:t>
      </w:r>
      <w:r>
        <w:rPr>
          <w:spacing w:val="-11"/>
        </w:rPr>
        <w:t xml:space="preserve"> </w:t>
      </w:r>
      <w:r>
        <w:t>general</w:t>
      </w:r>
      <w:r>
        <w:rPr>
          <w:spacing w:val="-10"/>
        </w:rPr>
        <w:t xml:space="preserve"> </w:t>
      </w:r>
      <w:r>
        <w:t>problem</w:t>
      </w:r>
      <w:r>
        <w:rPr>
          <w:spacing w:val="-13"/>
        </w:rPr>
        <w:t xml:space="preserve"> </w:t>
      </w:r>
      <w:r>
        <w:t>of</w:t>
      </w:r>
      <w:r>
        <w:rPr>
          <w:spacing w:val="-14"/>
        </w:rPr>
        <w:t xml:space="preserve"> </w:t>
      </w:r>
      <w:r>
        <w:t>surveys</w:t>
      </w:r>
      <w:r>
        <w:rPr>
          <w:spacing w:val="-10"/>
        </w:rPr>
        <w:t xml:space="preserve"> </w:t>
      </w:r>
      <w:r>
        <w:t>becomes</w:t>
      </w:r>
      <w:r>
        <w:rPr>
          <w:spacing w:val="-11"/>
        </w:rPr>
        <w:t xml:space="preserve"> </w:t>
      </w:r>
      <w:r>
        <w:t>more</w:t>
      </w:r>
      <w:r>
        <w:rPr>
          <w:spacing w:val="-12"/>
        </w:rPr>
        <w:t xml:space="preserve"> </w:t>
      </w:r>
      <w:r>
        <w:t>accentuated</w:t>
      </w:r>
      <w:r>
        <w:rPr>
          <w:spacing w:val="-13"/>
        </w:rPr>
        <w:t xml:space="preserve"> </w:t>
      </w:r>
      <w:r>
        <w:t>with</w:t>
      </w:r>
      <w:r>
        <w:rPr>
          <w:spacing w:val="-13"/>
        </w:rPr>
        <w:t xml:space="preserve"> </w:t>
      </w:r>
      <w:r>
        <w:t>distanced expert assessments. Third, our survey targeted experts who do not represent the views of all actor groups, such as local people, business actors, etc. Future research could compare more systematically the different actor groups’ responses, in par</w:t>
      </w:r>
      <w:r>
        <w:t>ticular in terms of acceptance aspects. Fourth, although we aimed at covering different regions in Europe, the responses are not statistically representative for different countries in Europe, in particular for Southern Europe.</w:t>
      </w:r>
      <w:r>
        <w:rPr>
          <w:spacing w:val="-12"/>
        </w:rPr>
        <w:t xml:space="preserve"> </w:t>
      </w:r>
      <w:r>
        <w:t>Finally,</w:t>
      </w:r>
      <w:r>
        <w:rPr>
          <w:spacing w:val="-11"/>
        </w:rPr>
        <w:t xml:space="preserve"> </w:t>
      </w:r>
      <w:r>
        <w:t>future</w:t>
      </w:r>
      <w:r>
        <w:rPr>
          <w:spacing w:val="-12"/>
        </w:rPr>
        <w:t xml:space="preserve"> </w:t>
      </w:r>
      <w:r>
        <w:t>studies</w:t>
      </w:r>
      <w:r>
        <w:rPr>
          <w:spacing w:val="-10"/>
        </w:rPr>
        <w:t xml:space="preserve"> </w:t>
      </w:r>
      <w:r>
        <w:t>can</w:t>
      </w:r>
      <w:r>
        <w:rPr>
          <w:spacing w:val="-12"/>
        </w:rPr>
        <w:t xml:space="preserve"> </w:t>
      </w:r>
      <w:r>
        <w:t>aim</w:t>
      </w:r>
      <w:r>
        <w:rPr>
          <w:spacing w:val="-10"/>
        </w:rPr>
        <w:t xml:space="preserve"> </w:t>
      </w:r>
      <w:r>
        <w:t>for</w:t>
      </w:r>
      <w:r>
        <w:rPr>
          <w:spacing w:val="-13"/>
        </w:rPr>
        <w:t xml:space="preserve"> </w:t>
      </w:r>
      <w:r>
        <w:t>more</w:t>
      </w:r>
      <w:r>
        <w:rPr>
          <w:spacing w:val="-12"/>
        </w:rPr>
        <w:t xml:space="preserve"> </w:t>
      </w:r>
      <w:r>
        <w:t>statistically</w:t>
      </w:r>
      <w:r>
        <w:rPr>
          <w:spacing w:val="-15"/>
        </w:rPr>
        <w:t xml:space="preserve"> </w:t>
      </w:r>
      <w:r>
        <w:t>representative</w:t>
      </w:r>
      <w:r>
        <w:rPr>
          <w:spacing w:val="-9"/>
        </w:rPr>
        <w:t xml:space="preserve"> </w:t>
      </w:r>
      <w:r>
        <w:t>samples</w:t>
      </w:r>
      <w:r>
        <w:rPr>
          <w:spacing w:val="-10"/>
        </w:rPr>
        <w:t xml:space="preserve"> </w:t>
      </w:r>
      <w:r>
        <w:t>and</w:t>
      </w:r>
      <w:r>
        <w:rPr>
          <w:spacing w:val="-11"/>
        </w:rPr>
        <w:t xml:space="preserve"> </w:t>
      </w:r>
      <w:r>
        <w:t>further, test the accuracy of the results at smaller scales, i.e. in the various regions and sub-regions in Europe. This could help to design specific measures suitable for addressing acceptance problem</w:t>
      </w:r>
      <w:r>
        <w:t>s in specific</w:t>
      </w:r>
      <w:r>
        <w:rPr>
          <w:spacing w:val="-2"/>
        </w:rPr>
        <w:t xml:space="preserve"> </w:t>
      </w:r>
      <w:r>
        <w:t>contexts.</w:t>
      </w:r>
    </w:p>
    <w:p w:rsidR="00C94252" w:rsidRDefault="00C94252">
      <w:pPr>
        <w:pStyle w:val="Brdtekst"/>
        <w:spacing w:before="5"/>
        <w:rPr>
          <w:sz w:val="38"/>
        </w:rPr>
      </w:pPr>
    </w:p>
    <w:p w:rsidR="00C94252" w:rsidRDefault="00A33443">
      <w:pPr>
        <w:pStyle w:val="Overskrift1"/>
        <w:numPr>
          <w:ilvl w:val="0"/>
          <w:numId w:val="5"/>
        </w:numPr>
        <w:tabs>
          <w:tab w:val="left" w:pos="628"/>
        </w:tabs>
        <w:spacing w:before="1"/>
        <w:ind w:left="627" w:hanging="511"/>
        <w:jc w:val="both"/>
      </w:pPr>
      <w:r>
        <w:t>Conclusions and policy</w:t>
      </w:r>
      <w:r>
        <w:rPr>
          <w:spacing w:val="-1"/>
        </w:rPr>
        <w:t xml:space="preserve"> </w:t>
      </w:r>
      <w:r>
        <w:t>implications</w:t>
      </w:r>
    </w:p>
    <w:p w:rsidR="00C94252" w:rsidRDefault="00A33443">
      <w:pPr>
        <w:pStyle w:val="Brdtekst"/>
        <w:spacing w:before="96"/>
        <w:ind w:left="116" w:right="170"/>
        <w:jc w:val="both"/>
      </w:pPr>
      <w:r>
        <w:t>This study provides evidence explaining the similarities and differences of wind energy acceptance problems in Europe: notably in terms of how impacts on landscape are perceived. Based on the pre</w:t>
      </w:r>
      <w:r>
        <w:t>-defined country-group regions, we have found that the role of certain socio- economic issues is viewed differently, such as social justice (Western vs Southern Europe) or concerns over local image (Northern vs Western Europe). Additionally, related to acc</w:t>
      </w:r>
      <w:r>
        <w:t>eptance concerns, participatory planning of wind energy varies across Europe, mainly regarding strategic planning (definition of priority areas, communication quality) and local planning patterns</w:t>
      </w:r>
      <w:r>
        <w:rPr>
          <w:spacing w:val="-7"/>
        </w:rPr>
        <w:t xml:space="preserve"> </w:t>
      </w:r>
      <w:r>
        <w:t>(timing</w:t>
      </w:r>
      <w:r>
        <w:rPr>
          <w:spacing w:val="-8"/>
        </w:rPr>
        <w:t xml:space="preserve"> </w:t>
      </w:r>
      <w:r>
        <w:t>of</w:t>
      </w:r>
      <w:r>
        <w:rPr>
          <w:spacing w:val="-6"/>
        </w:rPr>
        <w:t xml:space="preserve"> </w:t>
      </w:r>
      <w:r>
        <w:t>communication,</w:t>
      </w:r>
      <w:r>
        <w:rPr>
          <w:spacing w:val="-5"/>
        </w:rPr>
        <w:t xml:space="preserve"> </w:t>
      </w:r>
      <w:r>
        <w:t>actor</w:t>
      </w:r>
      <w:r>
        <w:rPr>
          <w:spacing w:val="-6"/>
        </w:rPr>
        <w:t xml:space="preserve"> </w:t>
      </w:r>
      <w:r>
        <w:t>influence).</w:t>
      </w:r>
      <w:r>
        <w:rPr>
          <w:spacing w:val="-5"/>
        </w:rPr>
        <w:t xml:space="preserve"> </w:t>
      </w:r>
      <w:r>
        <w:t>These</w:t>
      </w:r>
      <w:r>
        <w:rPr>
          <w:spacing w:val="-7"/>
        </w:rPr>
        <w:t xml:space="preserve"> </w:t>
      </w:r>
      <w:r>
        <w:t>patterns</w:t>
      </w:r>
      <w:r>
        <w:rPr>
          <w:spacing w:val="-6"/>
        </w:rPr>
        <w:t xml:space="preserve"> </w:t>
      </w:r>
      <w:r>
        <w:t>a</w:t>
      </w:r>
      <w:r>
        <w:t>re</w:t>
      </w:r>
      <w:r>
        <w:rPr>
          <w:spacing w:val="-7"/>
        </w:rPr>
        <w:t xml:space="preserve"> </w:t>
      </w:r>
      <w:r>
        <w:t>embedded</w:t>
      </w:r>
      <w:r>
        <w:rPr>
          <w:spacing w:val="-5"/>
        </w:rPr>
        <w:t xml:space="preserve"> </w:t>
      </w:r>
      <w:r>
        <w:t>in</w:t>
      </w:r>
      <w:r>
        <w:rPr>
          <w:spacing w:val="-6"/>
        </w:rPr>
        <w:t xml:space="preserve"> </w:t>
      </w:r>
      <w:r>
        <w:t>the</w:t>
      </w:r>
      <w:r>
        <w:rPr>
          <w:spacing w:val="-6"/>
        </w:rPr>
        <w:t xml:space="preserve"> </w:t>
      </w:r>
      <w:r>
        <w:t>socio- economic and planning context of the regions, which tend to vary primarily in how communication culture and self-organization are perceived (Northern/Western vs the CEE region).</w:t>
      </w:r>
    </w:p>
    <w:p w:rsidR="00C94252" w:rsidRDefault="00A33443">
      <w:pPr>
        <w:pStyle w:val="Brdtekst"/>
        <w:spacing w:before="159"/>
        <w:ind w:left="116" w:right="172"/>
        <w:jc w:val="both"/>
      </w:pPr>
      <w:r>
        <w:t>Our survey takes a broad-scale perspective on accept</w:t>
      </w:r>
      <w:r>
        <w:t xml:space="preserve">ance problems and therefore cannot give detailed recommendations for addressing them in a particular political and cultural planning context. However, the results provide information that policy makers, spatial planners and associated stakeholders in wind </w:t>
      </w:r>
      <w:r>
        <w:t>energy planning could much benefit from.</w:t>
      </w:r>
    </w:p>
    <w:p w:rsidR="00C94252" w:rsidRDefault="00A33443">
      <w:pPr>
        <w:pStyle w:val="Brdtekst"/>
        <w:spacing w:before="161"/>
        <w:ind w:left="116" w:right="170"/>
        <w:jc w:val="both"/>
      </w:pPr>
      <w:r>
        <w:t>First, different levels of planning matter: local level communication (e.g., quality, timing) affects acceptance, as well as outreach and participatory activities at strategic planning levels. This implies that comm</w:t>
      </w:r>
      <w:r>
        <w:t>unication planners and organisers of participatory activities at all governance levels should pay attention to the timing and influence granted to the participants.</w:t>
      </w:r>
    </w:p>
    <w:p w:rsidR="00C94252" w:rsidRDefault="00A33443">
      <w:pPr>
        <w:pStyle w:val="Brdtekst"/>
        <w:spacing w:before="159"/>
        <w:ind w:left="116" w:right="169"/>
        <w:jc w:val="both"/>
      </w:pPr>
      <w:r>
        <w:t>Second,</w:t>
      </w:r>
      <w:r>
        <w:rPr>
          <w:spacing w:val="-4"/>
        </w:rPr>
        <w:t xml:space="preserve"> </w:t>
      </w:r>
      <w:r>
        <w:t>our</w:t>
      </w:r>
      <w:r>
        <w:rPr>
          <w:spacing w:val="-5"/>
        </w:rPr>
        <w:t xml:space="preserve"> </w:t>
      </w:r>
      <w:r>
        <w:t>results</w:t>
      </w:r>
      <w:r>
        <w:rPr>
          <w:spacing w:val="-3"/>
        </w:rPr>
        <w:t xml:space="preserve"> </w:t>
      </w:r>
      <w:r>
        <w:t>support</w:t>
      </w:r>
      <w:r>
        <w:rPr>
          <w:spacing w:val="-3"/>
        </w:rPr>
        <w:t xml:space="preserve"> </w:t>
      </w:r>
      <w:r>
        <w:t>efforts</w:t>
      </w:r>
      <w:r>
        <w:rPr>
          <w:spacing w:val="-3"/>
        </w:rPr>
        <w:t xml:space="preserve"> </w:t>
      </w:r>
      <w:r>
        <w:t>to</w:t>
      </w:r>
      <w:r>
        <w:rPr>
          <w:spacing w:val="-4"/>
        </w:rPr>
        <w:t xml:space="preserve"> </w:t>
      </w:r>
      <w:r>
        <w:t>adapt</w:t>
      </w:r>
      <w:r>
        <w:rPr>
          <w:spacing w:val="-3"/>
        </w:rPr>
        <w:t xml:space="preserve"> </w:t>
      </w:r>
      <w:r>
        <w:t>strategic</w:t>
      </w:r>
      <w:r>
        <w:rPr>
          <w:spacing w:val="-4"/>
        </w:rPr>
        <w:t xml:space="preserve"> </w:t>
      </w:r>
      <w:r>
        <w:t>planning</w:t>
      </w:r>
      <w:r>
        <w:rPr>
          <w:spacing w:val="-6"/>
        </w:rPr>
        <w:t xml:space="preserve"> </w:t>
      </w:r>
      <w:r>
        <w:t>approaches</w:t>
      </w:r>
      <w:r>
        <w:rPr>
          <w:spacing w:val="-2"/>
        </w:rPr>
        <w:t xml:space="preserve"> </w:t>
      </w:r>
      <w:r>
        <w:t>to</w:t>
      </w:r>
      <w:r>
        <w:rPr>
          <w:spacing w:val="-4"/>
        </w:rPr>
        <w:t xml:space="preserve"> </w:t>
      </w:r>
      <w:r>
        <w:t>the</w:t>
      </w:r>
      <w:r>
        <w:rPr>
          <w:spacing w:val="-4"/>
        </w:rPr>
        <w:t xml:space="preserve"> </w:t>
      </w:r>
      <w:r>
        <w:t>contexts</w:t>
      </w:r>
      <w:r>
        <w:rPr>
          <w:spacing w:val="-5"/>
        </w:rPr>
        <w:t xml:space="preserve"> </w:t>
      </w:r>
      <w:r>
        <w:t>of</w:t>
      </w:r>
      <w:r>
        <w:rPr>
          <w:spacing w:val="-5"/>
        </w:rPr>
        <w:t xml:space="preserve"> </w:t>
      </w:r>
      <w:r>
        <w:t>the regions. A general lack of trust and social justice tend to outweigh aesthetic concerns over landscape in the CEE region and in Southern Europe. The differences are accentuated by the variance</w:t>
      </w:r>
      <w:r>
        <w:rPr>
          <w:spacing w:val="-7"/>
        </w:rPr>
        <w:t xml:space="preserve"> </w:t>
      </w:r>
      <w:r>
        <w:t>in</w:t>
      </w:r>
      <w:r>
        <w:rPr>
          <w:spacing w:val="-6"/>
        </w:rPr>
        <w:t xml:space="preserve"> </w:t>
      </w:r>
      <w:r>
        <w:t>local</w:t>
      </w:r>
      <w:r>
        <w:rPr>
          <w:spacing w:val="-5"/>
        </w:rPr>
        <w:t xml:space="preserve"> </w:t>
      </w:r>
      <w:r>
        <w:t>socio-economic</w:t>
      </w:r>
      <w:r>
        <w:rPr>
          <w:spacing w:val="-6"/>
        </w:rPr>
        <w:t xml:space="preserve"> </w:t>
      </w:r>
      <w:r>
        <w:t>and</w:t>
      </w:r>
      <w:r>
        <w:rPr>
          <w:spacing w:val="-6"/>
        </w:rPr>
        <w:t xml:space="preserve"> </w:t>
      </w:r>
      <w:r>
        <w:t>cultural</w:t>
      </w:r>
      <w:r>
        <w:rPr>
          <w:spacing w:val="-3"/>
        </w:rPr>
        <w:t xml:space="preserve"> </w:t>
      </w:r>
      <w:r>
        <w:t>context</w:t>
      </w:r>
      <w:r>
        <w:rPr>
          <w:spacing w:val="-4"/>
        </w:rPr>
        <w:t xml:space="preserve"> </w:t>
      </w:r>
      <w:r>
        <w:t>of</w:t>
      </w:r>
      <w:r>
        <w:rPr>
          <w:spacing w:val="-7"/>
        </w:rPr>
        <w:t xml:space="preserve"> </w:t>
      </w:r>
      <w:r>
        <w:t>the</w:t>
      </w:r>
      <w:r>
        <w:rPr>
          <w:spacing w:val="-7"/>
        </w:rPr>
        <w:t xml:space="preserve"> </w:t>
      </w:r>
      <w:r>
        <w:t>regi</w:t>
      </w:r>
      <w:r>
        <w:t>ons</w:t>
      </w:r>
      <w:r>
        <w:rPr>
          <w:spacing w:val="-4"/>
        </w:rPr>
        <w:t xml:space="preserve"> </w:t>
      </w:r>
      <w:r>
        <w:t>–</w:t>
      </w:r>
      <w:r>
        <w:rPr>
          <w:spacing w:val="-6"/>
        </w:rPr>
        <w:t xml:space="preserve"> </w:t>
      </w:r>
      <w:r>
        <w:t>e.g.,</w:t>
      </w:r>
      <w:r>
        <w:rPr>
          <w:spacing w:val="-6"/>
        </w:rPr>
        <w:t xml:space="preserve"> </w:t>
      </w:r>
      <w:r>
        <w:t>in</w:t>
      </w:r>
      <w:r>
        <w:rPr>
          <w:spacing w:val="-5"/>
        </w:rPr>
        <w:t xml:space="preserve"> </w:t>
      </w:r>
      <w:r>
        <w:t>terms</w:t>
      </w:r>
      <w:r>
        <w:rPr>
          <w:spacing w:val="-5"/>
        </w:rPr>
        <w:t xml:space="preserve"> </w:t>
      </w:r>
      <w:r>
        <w:t>of</w:t>
      </w:r>
      <w:r>
        <w:rPr>
          <w:spacing w:val="-7"/>
        </w:rPr>
        <w:t xml:space="preserve"> </w:t>
      </w:r>
      <w:r>
        <w:t>the</w:t>
      </w:r>
      <w:r>
        <w:rPr>
          <w:spacing w:val="-6"/>
        </w:rPr>
        <w:t xml:space="preserve"> </w:t>
      </w:r>
      <w:r>
        <w:t>level of self-organisation or communication culture – which our study has specifically highlighted. Thus,</w:t>
      </w:r>
      <w:r>
        <w:rPr>
          <w:spacing w:val="-6"/>
        </w:rPr>
        <w:t xml:space="preserve"> </w:t>
      </w:r>
      <w:r>
        <w:t>in</w:t>
      </w:r>
      <w:r>
        <w:rPr>
          <w:spacing w:val="-6"/>
        </w:rPr>
        <w:t xml:space="preserve"> </w:t>
      </w:r>
      <w:r>
        <w:t>these</w:t>
      </w:r>
      <w:r>
        <w:rPr>
          <w:spacing w:val="-6"/>
        </w:rPr>
        <w:t xml:space="preserve"> </w:t>
      </w:r>
      <w:r>
        <w:t>regions,</w:t>
      </w:r>
      <w:r>
        <w:rPr>
          <w:spacing w:val="-5"/>
        </w:rPr>
        <w:t xml:space="preserve"> </w:t>
      </w:r>
      <w:r>
        <w:t>planners</w:t>
      </w:r>
      <w:r>
        <w:rPr>
          <w:spacing w:val="-5"/>
        </w:rPr>
        <w:t xml:space="preserve"> </w:t>
      </w:r>
      <w:r>
        <w:t>might</w:t>
      </w:r>
      <w:r>
        <w:rPr>
          <w:spacing w:val="-5"/>
        </w:rPr>
        <w:t xml:space="preserve"> </w:t>
      </w:r>
      <w:r>
        <w:t>need</w:t>
      </w:r>
      <w:r>
        <w:rPr>
          <w:spacing w:val="-5"/>
        </w:rPr>
        <w:t xml:space="preserve"> </w:t>
      </w:r>
      <w:r>
        <w:t>to</w:t>
      </w:r>
      <w:r>
        <w:rPr>
          <w:spacing w:val="-6"/>
        </w:rPr>
        <w:t xml:space="preserve"> </w:t>
      </w:r>
      <w:r>
        <w:t>pay</w:t>
      </w:r>
      <w:r>
        <w:rPr>
          <w:spacing w:val="-7"/>
        </w:rPr>
        <w:t xml:space="preserve"> </w:t>
      </w:r>
      <w:r>
        <w:t>specific</w:t>
      </w:r>
      <w:r>
        <w:rPr>
          <w:spacing w:val="-6"/>
        </w:rPr>
        <w:t xml:space="preserve"> </w:t>
      </w:r>
      <w:r>
        <w:t>attention</w:t>
      </w:r>
      <w:r>
        <w:rPr>
          <w:spacing w:val="-5"/>
        </w:rPr>
        <w:t xml:space="preserve"> </w:t>
      </w:r>
      <w:r>
        <w:t>to</w:t>
      </w:r>
      <w:r>
        <w:rPr>
          <w:spacing w:val="-6"/>
        </w:rPr>
        <w:t xml:space="preserve"> </w:t>
      </w:r>
      <w:r>
        <w:t>trust-building</w:t>
      </w:r>
      <w:r>
        <w:rPr>
          <w:spacing w:val="-6"/>
        </w:rPr>
        <w:t xml:space="preserve"> </w:t>
      </w:r>
      <w:r>
        <w:t>as</w:t>
      </w:r>
      <w:r>
        <w:rPr>
          <w:spacing w:val="-6"/>
        </w:rPr>
        <w:t xml:space="preserve"> </w:t>
      </w:r>
      <w:r>
        <w:t>well</w:t>
      </w:r>
      <w:r>
        <w:rPr>
          <w:spacing w:val="-4"/>
        </w:rPr>
        <w:t xml:space="preserve"> </w:t>
      </w:r>
      <w:r>
        <w:t>as on fair allocation of costs a</w:t>
      </w:r>
      <w:r>
        <w:t>nd</w:t>
      </w:r>
      <w:r>
        <w:rPr>
          <w:spacing w:val="-2"/>
        </w:rPr>
        <w:t xml:space="preserve"> </w:t>
      </w:r>
      <w:r>
        <w:t>benefits.</w:t>
      </w:r>
    </w:p>
    <w:p w:rsidR="00C94252" w:rsidRDefault="00A33443">
      <w:pPr>
        <w:pStyle w:val="Brdtekst"/>
        <w:spacing w:before="161"/>
        <w:ind w:left="116" w:right="167"/>
        <w:jc w:val="both"/>
      </w:pPr>
      <w:r>
        <w:t>Finally,</w:t>
      </w:r>
      <w:r>
        <w:rPr>
          <w:spacing w:val="-6"/>
        </w:rPr>
        <w:t xml:space="preserve"> </w:t>
      </w:r>
      <w:r>
        <w:t>despite</w:t>
      </w:r>
      <w:r>
        <w:rPr>
          <w:spacing w:val="-6"/>
        </w:rPr>
        <w:t xml:space="preserve"> </w:t>
      </w:r>
      <w:r>
        <w:t>the</w:t>
      </w:r>
      <w:r>
        <w:rPr>
          <w:spacing w:val="-6"/>
        </w:rPr>
        <w:t xml:space="preserve"> </w:t>
      </w:r>
      <w:r>
        <w:t>aforementioned</w:t>
      </w:r>
      <w:r>
        <w:rPr>
          <w:spacing w:val="-6"/>
        </w:rPr>
        <w:t xml:space="preserve"> </w:t>
      </w:r>
      <w:r>
        <w:t>differences,</w:t>
      </w:r>
      <w:r>
        <w:rPr>
          <w:spacing w:val="-5"/>
        </w:rPr>
        <w:t xml:space="preserve"> </w:t>
      </w:r>
      <w:r>
        <w:t>the</w:t>
      </w:r>
      <w:r>
        <w:rPr>
          <w:spacing w:val="-6"/>
        </w:rPr>
        <w:t xml:space="preserve"> </w:t>
      </w:r>
      <w:r>
        <w:t>regions</w:t>
      </w:r>
      <w:r>
        <w:rPr>
          <w:spacing w:val="-5"/>
        </w:rPr>
        <w:t xml:space="preserve"> </w:t>
      </w:r>
      <w:r>
        <w:t>share</w:t>
      </w:r>
      <w:r>
        <w:rPr>
          <w:spacing w:val="-7"/>
        </w:rPr>
        <w:t xml:space="preserve"> </w:t>
      </w:r>
      <w:r>
        <w:t>many</w:t>
      </w:r>
      <w:r>
        <w:rPr>
          <w:spacing w:val="-10"/>
        </w:rPr>
        <w:t xml:space="preserve"> </w:t>
      </w:r>
      <w:r>
        <w:t>similarities:</w:t>
      </w:r>
      <w:r>
        <w:rPr>
          <w:spacing w:val="-3"/>
        </w:rPr>
        <w:t xml:space="preserve"> </w:t>
      </w:r>
      <w:r>
        <w:t>a</w:t>
      </w:r>
      <w:r>
        <w:rPr>
          <w:spacing w:val="-7"/>
        </w:rPr>
        <w:t xml:space="preserve"> </w:t>
      </w:r>
      <w:r>
        <w:t>diversity of acceptance problems as well as the related planning patterns are represented. For instance, perceived</w:t>
      </w:r>
      <w:r>
        <w:rPr>
          <w:spacing w:val="-9"/>
        </w:rPr>
        <w:t xml:space="preserve"> </w:t>
      </w:r>
      <w:r>
        <w:t>impacts</w:t>
      </w:r>
      <w:r>
        <w:rPr>
          <w:spacing w:val="-8"/>
        </w:rPr>
        <w:t xml:space="preserve"> </w:t>
      </w:r>
      <w:r>
        <w:t>on</w:t>
      </w:r>
      <w:r>
        <w:rPr>
          <w:spacing w:val="-9"/>
        </w:rPr>
        <w:t xml:space="preserve"> </w:t>
      </w:r>
      <w:r>
        <w:t>landscape</w:t>
      </w:r>
      <w:r>
        <w:rPr>
          <w:spacing w:val="-9"/>
        </w:rPr>
        <w:t xml:space="preserve"> </w:t>
      </w:r>
      <w:r>
        <w:t>seem</w:t>
      </w:r>
      <w:r>
        <w:rPr>
          <w:spacing w:val="-8"/>
        </w:rPr>
        <w:t xml:space="preserve"> </w:t>
      </w:r>
      <w:r>
        <w:t>to</w:t>
      </w:r>
      <w:r>
        <w:rPr>
          <w:spacing w:val="-9"/>
        </w:rPr>
        <w:t xml:space="preserve"> </w:t>
      </w:r>
      <w:r>
        <w:t>be</w:t>
      </w:r>
      <w:r>
        <w:rPr>
          <w:spacing w:val="-10"/>
        </w:rPr>
        <w:t xml:space="preserve"> </w:t>
      </w:r>
      <w:r>
        <w:t>relevant</w:t>
      </w:r>
      <w:r>
        <w:rPr>
          <w:spacing w:val="-8"/>
        </w:rPr>
        <w:t xml:space="preserve"> </w:t>
      </w:r>
      <w:r>
        <w:t>all</w:t>
      </w:r>
      <w:r>
        <w:rPr>
          <w:spacing w:val="-7"/>
        </w:rPr>
        <w:t xml:space="preserve"> </w:t>
      </w:r>
      <w:r>
        <w:t>over</w:t>
      </w:r>
      <w:r>
        <w:rPr>
          <w:spacing w:val="-9"/>
        </w:rPr>
        <w:t xml:space="preserve"> </w:t>
      </w:r>
      <w:r>
        <w:t>Europe.</w:t>
      </w:r>
      <w:r>
        <w:rPr>
          <w:spacing w:val="-6"/>
        </w:rPr>
        <w:t xml:space="preserve"> </w:t>
      </w:r>
      <w:r>
        <w:t>In</w:t>
      </w:r>
      <w:r>
        <w:rPr>
          <w:spacing w:val="-9"/>
        </w:rPr>
        <w:t xml:space="preserve"> </w:t>
      </w:r>
      <w:r>
        <w:t>addition,</w:t>
      </w:r>
      <w:r>
        <w:rPr>
          <w:spacing w:val="-7"/>
        </w:rPr>
        <w:t xml:space="preserve"> </w:t>
      </w:r>
      <w:r>
        <w:t>problems</w:t>
      </w:r>
      <w:r>
        <w:rPr>
          <w:spacing w:val="-8"/>
        </w:rPr>
        <w:t xml:space="preserve"> </w:t>
      </w:r>
      <w:r>
        <w:t>with procedural</w:t>
      </w:r>
      <w:r>
        <w:rPr>
          <w:spacing w:val="-10"/>
        </w:rPr>
        <w:t xml:space="preserve"> </w:t>
      </w:r>
      <w:r>
        <w:t>justice</w:t>
      </w:r>
      <w:r>
        <w:rPr>
          <w:spacing w:val="-10"/>
        </w:rPr>
        <w:t xml:space="preserve"> </w:t>
      </w:r>
      <w:r>
        <w:t>and</w:t>
      </w:r>
      <w:r>
        <w:rPr>
          <w:spacing w:val="-11"/>
        </w:rPr>
        <w:t xml:space="preserve"> </w:t>
      </w:r>
      <w:r>
        <w:t>trust</w:t>
      </w:r>
      <w:r>
        <w:rPr>
          <w:spacing w:val="-10"/>
        </w:rPr>
        <w:t xml:space="preserve"> </w:t>
      </w:r>
      <w:r>
        <w:t>also</w:t>
      </w:r>
      <w:r>
        <w:rPr>
          <w:spacing w:val="-9"/>
        </w:rPr>
        <w:t xml:space="preserve"> </w:t>
      </w:r>
      <w:r>
        <w:t>exist</w:t>
      </w:r>
      <w:r>
        <w:rPr>
          <w:spacing w:val="-10"/>
        </w:rPr>
        <w:t xml:space="preserve"> </w:t>
      </w:r>
      <w:r>
        <w:t>in</w:t>
      </w:r>
      <w:r>
        <w:rPr>
          <w:spacing w:val="-11"/>
        </w:rPr>
        <w:t xml:space="preserve"> </w:t>
      </w:r>
      <w:r>
        <w:t>regions</w:t>
      </w:r>
      <w:r>
        <w:rPr>
          <w:spacing w:val="-10"/>
        </w:rPr>
        <w:t xml:space="preserve"> </w:t>
      </w:r>
      <w:r>
        <w:t>where</w:t>
      </w:r>
      <w:r>
        <w:rPr>
          <w:spacing w:val="-9"/>
        </w:rPr>
        <w:t xml:space="preserve"> </w:t>
      </w:r>
      <w:r>
        <w:t>countries</w:t>
      </w:r>
      <w:r>
        <w:rPr>
          <w:spacing w:val="-8"/>
        </w:rPr>
        <w:t xml:space="preserve"> </w:t>
      </w:r>
      <w:r>
        <w:t>have</w:t>
      </w:r>
      <w:r>
        <w:rPr>
          <w:spacing w:val="-10"/>
        </w:rPr>
        <w:t xml:space="preserve"> </w:t>
      </w:r>
      <w:r>
        <w:t>more</w:t>
      </w:r>
      <w:r>
        <w:rPr>
          <w:spacing w:val="-10"/>
        </w:rPr>
        <w:t xml:space="preserve"> </w:t>
      </w:r>
      <w:r>
        <w:t>established</w:t>
      </w:r>
      <w:r>
        <w:rPr>
          <w:spacing w:val="-9"/>
        </w:rPr>
        <w:t xml:space="preserve"> </w:t>
      </w:r>
      <w:r>
        <w:t>cultures of communicative planning, e.g., in Western and Northern Europe. This suggests that, in wind energy planning situ</w:t>
      </w:r>
      <w:r>
        <w:t>ations, planners, decision-makers and other related stakeholders that become</w:t>
      </w:r>
      <w:r>
        <w:rPr>
          <w:spacing w:val="-9"/>
        </w:rPr>
        <w:t xml:space="preserve"> </w:t>
      </w:r>
      <w:r>
        <w:t>familiar</w:t>
      </w:r>
      <w:r>
        <w:rPr>
          <w:spacing w:val="-10"/>
        </w:rPr>
        <w:t xml:space="preserve"> </w:t>
      </w:r>
      <w:r>
        <w:t>with</w:t>
      </w:r>
      <w:r>
        <w:rPr>
          <w:spacing w:val="-11"/>
        </w:rPr>
        <w:t xml:space="preserve"> </w:t>
      </w:r>
      <w:r>
        <w:t>the</w:t>
      </w:r>
      <w:r>
        <w:rPr>
          <w:spacing w:val="-6"/>
        </w:rPr>
        <w:t xml:space="preserve"> </w:t>
      </w:r>
      <w:r>
        <w:t>diversity</w:t>
      </w:r>
      <w:r>
        <w:rPr>
          <w:spacing w:val="-15"/>
        </w:rPr>
        <w:t xml:space="preserve"> </w:t>
      </w:r>
      <w:r>
        <w:t>of</w:t>
      </w:r>
      <w:r>
        <w:rPr>
          <w:spacing w:val="-11"/>
        </w:rPr>
        <w:t xml:space="preserve"> </w:t>
      </w:r>
      <w:r>
        <w:t>concerns</w:t>
      </w:r>
      <w:r>
        <w:rPr>
          <w:spacing w:val="-9"/>
        </w:rPr>
        <w:t xml:space="preserve"> </w:t>
      </w:r>
      <w:r>
        <w:t>would</w:t>
      </w:r>
      <w:r>
        <w:rPr>
          <w:spacing w:val="-9"/>
        </w:rPr>
        <w:t xml:space="preserve"> </w:t>
      </w:r>
      <w:r>
        <w:t>be</w:t>
      </w:r>
      <w:r>
        <w:rPr>
          <w:spacing w:val="-12"/>
        </w:rPr>
        <w:t xml:space="preserve"> </w:t>
      </w:r>
      <w:r>
        <w:t>better</w:t>
      </w:r>
      <w:r>
        <w:rPr>
          <w:spacing w:val="-8"/>
        </w:rPr>
        <w:t xml:space="preserve"> </w:t>
      </w:r>
      <w:r>
        <w:t>able</w:t>
      </w:r>
      <w:r>
        <w:rPr>
          <w:spacing w:val="-9"/>
        </w:rPr>
        <w:t xml:space="preserve"> </w:t>
      </w:r>
      <w:r>
        <w:t>to</w:t>
      </w:r>
      <w:r>
        <w:rPr>
          <w:spacing w:val="-10"/>
        </w:rPr>
        <w:t xml:space="preserve"> </w:t>
      </w:r>
      <w:r>
        <w:t>design</w:t>
      </w:r>
      <w:r>
        <w:rPr>
          <w:spacing w:val="-11"/>
        </w:rPr>
        <w:t xml:space="preserve"> </w:t>
      </w:r>
      <w:r>
        <w:t>more</w:t>
      </w:r>
      <w:r>
        <w:rPr>
          <w:spacing w:val="-11"/>
        </w:rPr>
        <w:t xml:space="preserve"> </w:t>
      </w:r>
      <w:r>
        <w:t>appropriate, acceptable and thus successful planning</w:t>
      </w:r>
      <w:r>
        <w:rPr>
          <w:spacing w:val="-4"/>
        </w:rPr>
        <w:t xml:space="preserve"> </w:t>
      </w:r>
      <w:r>
        <w:t>processes.</w:t>
      </w:r>
    </w:p>
    <w:p w:rsidR="00C94252" w:rsidRDefault="00C94252">
      <w:pPr>
        <w:jc w:val="both"/>
        <w:sectPr w:rsidR="00C94252">
          <w:pgSz w:w="11900" w:h="16850"/>
          <w:pgMar w:top="1340" w:right="1240" w:bottom="940" w:left="1300" w:header="0" w:footer="751" w:gutter="0"/>
          <w:cols w:space="708"/>
        </w:sectPr>
      </w:pPr>
    </w:p>
    <w:p w:rsidR="00C94252" w:rsidRDefault="00C94252">
      <w:pPr>
        <w:pStyle w:val="Brdtekst"/>
        <w:rPr>
          <w:sz w:val="14"/>
        </w:rPr>
      </w:pPr>
    </w:p>
    <w:p w:rsidR="00C94252" w:rsidRDefault="00A33443">
      <w:pPr>
        <w:pStyle w:val="Overskrift1"/>
        <w:spacing w:before="90"/>
      </w:pPr>
      <w:r>
        <w:t>Acknowledgements</w:t>
      </w:r>
    </w:p>
    <w:p w:rsidR="00C94252" w:rsidRDefault="00A33443">
      <w:pPr>
        <w:pStyle w:val="Brdtekst"/>
        <w:spacing w:before="96" w:line="259" w:lineRule="auto"/>
        <w:ind w:left="116" w:right="171"/>
        <w:jc w:val="both"/>
      </w:pPr>
      <w:r>
        <w:t>We are grateful to the EU COST Action TU1401 ‘Renewable Energy and Landscape Quality’ (</w:t>
      </w:r>
      <w:hyperlink r:id="rId29">
        <w:r>
          <w:rPr>
            <w:color w:val="0462C1"/>
            <w:u w:val="single" w:color="0462C1"/>
          </w:rPr>
          <w:t>http://cost-rely.eu/</w:t>
        </w:r>
      </w:hyperlink>
      <w:r>
        <w:t>) for supporting this research. The Czech government supports our participation in this Action by the funding</w:t>
      </w:r>
      <w:r>
        <w:t xml:space="preserve"> of a project entitled “Exploring social-spatial diffusion of renewable energy projects in the Czech Republic: lessons for adaptive</w:t>
      </w:r>
      <w:r>
        <w:rPr>
          <w:spacing w:val="-38"/>
        </w:rPr>
        <w:t xml:space="preserve"> </w:t>
      </w:r>
      <w:r>
        <w:t>governance of energy transition” (Czech Science Foundation, No. 16–04483S). Work at NIBIO was financed</w:t>
      </w:r>
      <w:r>
        <w:rPr>
          <w:spacing w:val="-4"/>
        </w:rPr>
        <w:t xml:space="preserve"> </w:t>
      </w:r>
      <w:r>
        <w:t>by</w:t>
      </w:r>
      <w:r>
        <w:rPr>
          <w:spacing w:val="-10"/>
        </w:rPr>
        <w:t xml:space="preserve"> </w:t>
      </w:r>
      <w:r>
        <w:t>the</w:t>
      </w:r>
      <w:r>
        <w:rPr>
          <w:spacing w:val="-4"/>
        </w:rPr>
        <w:t xml:space="preserve"> </w:t>
      </w:r>
      <w:r>
        <w:t>Norwegian</w:t>
      </w:r>
      <w:r>
        <w:rPr>
          <w:spacing w:val="-5"/>
        </w:rPr>
        <w:t xml:space="preserve"> </w:t>
      </w:r>
      <w:r>
        <w:t>Mini</w:t>
      </w:r>
      <w:r>
        <w:t>stry</w:t>
      </w:r>
      <w:r>
        <w:rPr>
          <w:spacing w:val="-8"/>
        </w:rPr>
        <w:t xml:space="preserve"> </w:t>
      </w:r>
      <w:r>
        <w:t>of</w:t>
      </w:r>
      <w:r>
        <w:rPr>
          <w:spacing w:val="-6"/>
        </w:rPr>
        <w:t xml:space="preserve"> </w:t>
      </w:r>
      <w:r>
        <w:t>Agriculture</w:t>
      </w:r>
      <w:r>
        <w:rPr>
          <w:spacing w:val="-6"/>
        </w:rPr>
        <w:t xml:space="preserve"> </w:t>
      </w:r>
      <w:r>
        <w:t>and</w:t>
      </w:r>
      <w:r>
        <w:rPr>
          <w:spacing w:val="-2"/>
        </w:rPr>
        <w:t xml:space="preserve"> </w:t>
      </w:r>
      <w:r>
        <w:t>Food,</w:t>
      </w:r>
      <w:r>
        <w:rPr>
          <w:spacing w:val="-6"/>
        </w:rPr>
        <w:t xml:space="preserve"> </w:t>
      </w:r>
      <w:r>
        <w:t>through</w:t>
      </w:r>
      <w:r>
        <w:rPr>
          <w:spacing w:val="-5"/>
        </w:rPr>
        <w:t xml:space="preserve"> </w:t>
      </w:r>
      <w:r>
        <w:t>the</w:t>
      </w:r>
      <w:r>
        <w:rPr>
          <w:spacing w:val="-4"/>
        </w:rPr>
        <w:t xml:space="preserve"> </w:t>
      </w:r>
      <w:r>
        <w:t>Research</w:t>
      </w:r>
      <w:r>
        <w:rPr>
          <w:spacing w:val="-2"/>
        </w:rPr>
        <w:t xml:space="preserve"> </w:t>
      </w:r>
      <w:r>
        <w:t>Council</w:t>
      </w:r>
      <w:r>
        <w:rPr>
          <w:spacing w:val="-5"/>
        </w:rPr>
        <w:t xml:space="preserve"> </w:t>
      </w:r>
      <w:r>
        <w:t xml:space="preserve">of Norway (grant No. 194051). We are thankful to Dr Boris Salak for useful discussions while developing the analytical approach for this study, and to two anonymous reviewers for helpful comments, </w:t>
      </w:r>
      <w:r>
        <w:t>which have enabled us to refine this paper. We would also like to thank all respondents for taking their time to fill in the</w:t>
      </w:r>
      <w:r>
        <w:rPr>
          <w:spacing w:val="-7"/>
        </w:rPr>
        <w:t xml:space="preserve"> </w:t>
      </w:r>
      <w:r>
        <w:t>questionnaire.</w:t>
      </w:r>
    </w:p>
    <w:p w:rsidR="00C94252" w:rsidRDefault="00C94252">
      <w:pPr>
        <w:pStyle w:val="Brdtekst"/>
        <w:rPr>
          <w:sz w:val="26"/>
        </w:rPr>
      </w:pPr>
    </w:p>
    <w:p w:rsidR="00C94252" w:rsidRDefault="00C94252">
      <w:pPr>
        <w:pStyle w:val="Brdtekst"/>
        <w:spacing w:before="1"/>
        <w:rPr>
          <w:sz w:val="26"/>
        </w:rPr>
      </w:pPr>
    </w:p>
    <w:p w:rsidR="00C94252" w:rsidRDefault="00A33443">
      <w:pPr>
        <w:pStyle w:val="Overskrift1"/>
      </w:pPr>
      <w:r>
        <w:t>Appendix A. Questionnaire.</w:t>
      </w:r>
    </w:p>
    <w:p w:rsidR="00C94252" w:rsidRDefault="00C94252">
      <w:pPr>
        <w:pStyle w:val="Brdtekst"/>
        <w:rPr>
          <w:b/>
          <w:sz w:val="26"/>
        </w:rPr>
      </w:pPr>
    </w:p>
    <w:p w:rsidR="00C94252" w:rsidRDefault="00C94252">
      <w:pPr>
        <w:pStyle w:val="Brdtekst"/>
        <w:spacing w:before="6"/>
        <w:rPr>
          <w:b/>
          <w:sz w:val="20"/>
        </w:rPr>
      </w:pPr>
    </w:p>
    <w:p w:rsidR="00C94252" w:rsidRDefault="00A33443">
      <w:pPr>
        <w:ind w:left="116"/>
        <w:rPr>
          <w:b/>
          <w:sz w:val="24"/>
        </w:rPr>
      </w:pPr>
      <w:r>
        <w:rPr>
          <w:b/>
          <w:sz w:val="24"/>
        </w:rPr>
        <w:t>Appendix B. Detailed results from the survey.</w:t>
      </w:r>
    </w:p>
    <w:p w:rsidR="00C94252" w:rsidRDefault="00C94252">
      <w:pPr>
        <w:pStyle w:val="Brdtekst"/>
        <w:spacing w:before="4"/>
        <w:rPr>
          <w:b/>
          <w:sz w:val="32"/>
        </w:rPr>
      </w:pPr>
    </w:p>
    <w:p w:rsidR="00C94252" w:rsidRDefault="00A33443">
      <w:pPr>
        <w:pStyle w:val="Brdtekst"/>
        <w:spacing w:after="6"/>
        <w:ind w:left="116"/>
      </w:pPr>
      <w:r>
        <w:rPr>
          <w:b/>
        </w:rPr>
        <w:t>Table B.1</w:t>
      </w:r>
      <w:r>
        <w:t>. Reasons for resistance towards WE: differences across large regions. Significance levels: *p&lt;0.1; **p&lt;0.05.</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2322"/>
        <w:gridCol w:w="711"/>
        <w:gridCol w:w="725"/>
        <w:gridCol w:w="975"/>
        <w:gridCol w:w="994"/>
        <w:gridCol w:w="1133"/>
        <w:gridCol w:w="994"/>
        <w:gridCol w:w="749"/>
      </w:tblGrid>
      <w:tr w:rsidR="00C94252">
        <w:trPr>
          <w:trHeight w:val="757"/>
        </w:trPr>
        <w:tc>
          <w:tcPr>
            <w:tcW w:w="509" w:type="dxa"/>
            <w:vMerge w:val="restart"/>
            <w:tcBorders>
              <w:bottom w:val="single" w:sz="6" w:space="0" w:color="000000"/>
            </w:tcBorders>
          </w:tcPr>
          <w:p w:rsidR="00C94252" w:rsidRDefault="00C94252">
            <w:pPr>
              <w:pStyle w:val="TableParagraph"/>
            </w:pPr>
          </w:p>
          <w:p w:rsidR="00C94252" w:rsidRDefault="00C94252">
            <w:pPr>
              <w:pStyle w:val="TableParagraph"/>
            </w:pPr>
          </w:p>
          <w:p w:rsidR="00C94252" w:rsidRDefault="00A33443">
            <w:pPr>
              <w:pStyle w:val="TableParagraph"/>
              <w:spacing w:before="152"/>
              <w:ind w:left="115"/>
              <w:rPr>
                <w:i/>
                <w:sz w:val="20"/>
              </w:rPr>
            </w:pPr>
            <w:r>
              <w:rPr>
                <w:i/>
                <w:sz w:val="20"/>
              </w:rPr>
              <w:t>No.</w:t>
            </w:r>
          </w:p>
        </w:tc>
        <w:tc>
          <w:tcPr>
            <w:tcW w:w="2322" w:type="dxa"/>
            <w:vMerge w:val="restart"/>
            <w:tcBorders>
              <w:bottom w:val="single" w:sz="6" w:space="0" w:color="000000"/>
            </w:tcBorders>
          </w:tcPr>
          <w:p w:rsidR="00C94252" w:rsidRDefault="00C94252">
            <w:pPr>
              <w:pStyle w:val="TableParagraph"/>
            </w:pPr>
          </w:p>
          <w:p w:rsidR="00C94252" w:rsidRDefault="00A33443">
            <w:pPr>
              <w:pStyle w:val="TableParagraph"/>
              <w:spacing w:before="174"/>
              <w:ind w:left="429"/>
              <w:rPr>
                <w:i/>
                <w:sz w:val="20"/>
              </w:rPr>
            </w:pPr>
            <w:r>
              <w:rPr>
                <w:i/>
                <w:sz w:val="20"/>
              </w:rPr>
              <w:t>Resistance factors</w:t>
            </w:r>
          </w:p>
        </w:tc>
        <w:tc>
          <w:tcPr>
            <w:tcW w:w="1436" w:type="dxa"/>
            <w:gridSpan w:val="2"/>
          </w:tcPr>
          <w:p w:rsidR="00C94252" w:rsidRDefault="00A33443">
            <w:pPr>
              <w:pStyle w:val="TableParagraph"/>
              <w:spacing w:before="65" w:line="230" w:lineRule="atLeast"/>
              <w:ind w:left="226" w:right="215" w:hanging="2"/>
              <w:jc w:val="center"/>
              <w:rPr>
                <w:i/>
                <w:sz w:val="20"/>
              </w:rPr>
            </w:pPr>
            <w:r>
              <w:rPr>
                <w:i/>
                <w:sz w:val="20"/>
              </w:rPr>
              <w:t>Summary statistics for each factor</w:t>
            </w:r>
          </w:p>
        </w:tc>
        <w:tc>
          <w:tcPr>
            <w:tcW w:w="4845" w:type="dxa"/>
            <w:gridSpan w:val="5"/>
          </w:tcPr>
          <w:p w:rsidR="00C94252" w:rsidRDefault="00C94252">
            <w:pPr>
              <w:pStyle w:val="TableParagraph"/>
              <w:spacing w:before="6"/>
            </w:pPr>
          </w:p>
          <w:p w:rsidR="00C94252" w:rsidRDefault="00A33443">
            <w:pPr>
              <w:pStyle w:val="TableParagraph"/>
              <w:ind w:left="1001"/>
              <w:rPr>
                <w:i/>
                <w:sz w:val="20"/>
              </w:rPr>
            </w:pPr>
            <w:r>
              <w:rPr>
                <w:i/>
                <w:sz w:val="20"/>
              </w:rPr>
              <w:t>Regional differences: large regions</w:t>
            </w:r>
          </w:p>
        </w:tc>
      </w:tr>
      <w:tr w:rsidR="00C94252">
        <w:trPr>
          <w:trHeight w:val="782"/>
        </w:trPr>
        <w:tc>
          <w:tcPr>
            <w:tcW w:w="509" w:type="dxa"/>
            <w:vMerge/>
            <w:tcBorders>
              <w:top w:val="nil"/>
              <w:bottom w:val="single" w:sz="6" w:space="0" w:color="000000"/>
            </w:tcBorders>
          </w:tcPr>
          <w:p w:rsidR="00C94252" w:rsidRDefault="00C94252">
            <w:pPr>
              <w:rPr>
                <w:sz w:val="2"/>
                <w:szCs w:val="2"/>
              </w:rPr>
            </w:pPr>
          </w:p>
        </w:tc>
        <w:tc>
          <w:tcPr>
            <w:tcW w:w="2322" w:type="dxa"/>
            <w:vMerge/>
            <w:tcBorders>
              <w:top w:val="nil"/>
              <w:bottom w:val="single" w:sz="6" w:space="0" w:color="000000"/>
            </w:tcBorders>
          </w:tcPr>
          <w:p w:rsidR="00C94252" w:rsidRDefault="00C94252">
            <w:pPr>
              <w:rPr>
                <w:sz w:val="2"/>
                <w:szCs w:val="2"/>
              </w:rPr>
            </w:pPr>
          </w:p>
        </w:tc>
        <w:tc>
          <w:tcPr>
            <w:tcW w:w="711" w:type="dxa"/>
            <w:tcBorders>
              <w:bottom w:val="single" w:sz="6" w:space="0" w:color="000000"/>
            </w:tcBorders>
          </w:tcPr>
          <w:p w:rsidR="00C94252" w:rsidRDefault="00A33443">
            <w:pPr>
              <w:pStyle w:val="TableParagraph"/>
              <w:spacing w:before="158" w:line="229" w:lineRule="exact"/>
              <w:ind w:left="10"/>
              <w:jc w:val="center"/>
              <w:rPr>
                <w:i/>
                <w:sz w:val="20"/>
              </w:rPr>
            </w:pPr>
            <w:r>
              <w:rPr>
                <w:i/>
                <w:w w:val="99"/>
                <w:sz w:val="20"/>
              </w:rPr>
              <w:t>N</w:t>
            </w:r>
          </w:p>
          <w:p w:rsidR="00C94252" w:rsidRDefault="00A33443">
            <w:pPr>
              <w:pStyle w:val="TableParagraph"/>
              <w:spacing w:line="229" w:lineRule="exact"/>
              <w:ind w:left="117" w:right="109"/>
              <w:jc w:val="center"/>
              <w:rPr>
                <w:i/>
                <w:sz w:val="20"/>
              </w:rPr>
            </w:pPr>
            <w:r>
              <w:rPr>
                <w:i/>
                <w:sz w:val="20"/>
              </w:rPr>
              <w:t>Valid</w:t>
            </w:r>
          </w:p>
        </w:tc>
        <w:tc>
          <w:tcPr>
            <w:tcW w:w="725" w:type="dxa"/>
            <w:tcBorders>
              <w:bottom w:val="single" w:sz="6" w:space="0" w:color="000000"/>
            </w:tcBorders>
          </w:tcPr>
          <w:p w:rsidR="00C94252" w:rsidRDefault="00C94252">
            <w:pPr>
              <w:pStyle w:val="TableParagraph"/>
              <w:spacing w:before="6"/>
              <w:rPr>
                <w:sz w:val="23"/>
              </w:rPr>
            </w:pPr>
          </w:p>
          <w:p w:rsidR="00C94252" w:rsidRDefault="00A33443">
            <w:pPr>
              <w:pStyle w:val="TableParagraph"/>
              <w:spacing w:before="1"/>
              <w:ind w:right="125"/>
              <w:jc w:val="right"/>
              <w:rPr>
                <w:i/>
                <w:sz w:val="20"/>
              </w:rPr>
            </w:pPr>
            <w:r>
              <w:rPr>
                <w:i/>
                <w:w w:val="95"/>
                <w:sz w:val="20"/>
              </w:rPr>
              <w:t>Mean</w:t>
            </w:r>
          </w:p>
        </w:tc>
        <w:tc>
          <w:tcPr>
            <w:tcW w:w="975" w:type="dxa"/>
            <w:tcBorders>
              <w:bottom w:val="single" w:sz="6" w:space="0" w:color="000000"/>
            </w:tcBorders>
          </w:tcPr>
          <w:p w:rsidR="00C94252" w:rsidRDefault="00A33443">
            <w:pPr>
              <w:pStyle w:val="TableParagraph"/>
              <w:spacing w:before="158"/>
              <w:ind w:left="192" w:hanging="72"/>
              <w:rPr>
                <w:i/>
                <w:sz w:val="20"/>
              </w:rPr>
            </w:pPr>
            <w:r>
              <w:rPr>
                <w:i/>
                <w:w w:val="95"/>
                <w:sz w:val="20"/>
              </w:rPr>
              <w:t xml:space="preserve">Northern </w:t>
            </w:r>
            <w:r>
              <w:rPr>
                <w:i/>
                <w:sz w:val="20"/>
              </w:rPr>
              <w:t>Europe</w:t>
            </w:r>
          </w:p>
        </w:tc>
        <w:tc>
          <w:tcPr>
            <w:tcW w:w="994" w:type="dxa"/>
            <w:tcBorders>
              <w:bottom w:val="single" w:sz="6" w:space="0" w:color="000000"/>
            </w:tcBorders>
          </w:tcPr>
          <w:p w:rsidR="00C94252" w:rsidRDefault="00A33443">
            <w:pPr>
              <w:pStyle w:val="TableParagraph"/>
              <w:spacing w:before="158"/>
              <w:ind w:left="201" w:right="108" w:hanging="34"/>
              <w:rPr>
                <w:i/>
                <w:sz w:val="20"/>
              </w:rPr>
            </w:pPr>
            <w:r>
              <w:rPr>
                <w:i/>
                <w:w w:val="95"/>
                <w:sz w:val="20"/>
              </w:rPr>
              <w:t xml:space="preserve">Western </w:t>
            </w:r>
            <w:r>
              <w:rPr>
                <w:i/>
                <w:sz w:val="20"/>
              </w:rPr>
              <w:t>Europe</w:t>
            </w:r>
          </w:p>
        </w:tc>
        <w:tc>
          <w:tcPr>
            <w:tcW w:w="1133" w:type="dxa"/>
            <w:tcBorders>
              <w:bottom w:val="single" w:sz="6" w:space="0" w:color="000000"/>
            </w:tcBorders>
          </w:tcPr>
          <w:p w:rsidR="00C94252" w:rsidRDefault="00A33443">
            <w:pPr>
              <w:pStyle w:val="TableParagraph"/>
              <w:spacing w:before="43"/>
              <w:ind w:left="251" w:right="131" w:hanging="96"/>
              <w:rPr>
                <w:i/>
                <w:sz w:val="20"/>
              </w:rPr>
            </w:pPr>
            <w:r>
              <w:rPr>
                <w:i/>
                <w:sz w:val="20"/>
              </w:rPr>
              <w:t>Central &amp; Eastern Europe</w:t>
            </w:r>
          </w:p>
        </w:tc>
        <w:tc>
          <w:tcPr>
            <w:tcW w:w="994" w:type="dxa"/>
            <w:tcBorders>
              <w:bottom w:val="single" w:sz="6" w:space="0" w:color="000000"/>
            </w:tcBorders>
          </w:tcPr>
          <w:p w:rsidR="00C94252" w:rsidRDefault="00A33443">
            <w:pPr>
              <w:pStyle w:val="TableParagraph"/>
              <w:spacing w:before="158"/>
              <w:ind w:left="201" w:right="108" w:hanging="68"/>
              <w:rPr>
                <w:i/>
                <w:sz w:val="20"/>
              </w:rPr>
            </w:pPr>
            <w:r>
              <w:rPr>
                <w:i/>
                <w:sz w:val="20"/>
              </w:rPr>
              <w:t>Southern Europe</w:t>
            </w:r>
          </w:p>
        </w:tc>
        <w:tc>
          <w:tcPr>
            <w:tcW w:w="749" w:type="dxa"/>
            <w:tcBorders>
              <w:bottom w:val="single" w:sz="6" w:space="0" w:color="000000"/>
            </w:tcBorders>
          </w:tcPr>
          <w:p w:rsidR="00C94252" w:rsidRDefault="00C94252">
            <w:pPr>
              <w:pStyle w:val="TableParagraph"/>
              <w:spacing w:before="6"/>
              <w:rPr>
                <w:sz w:val="23"/>
              </w:rPr>
            </w:pPr>
          </w:p>
          <w:p w:rsidR="00C94252" w:rsidRDefault="00A33443">
            <w:pPr>
              <w:pStyle w:val="TableParagraph"/>
              <w:spacing w:before="1"/>
              <w:ind w:left="3"/>
              <w:jc w:val="center"/>
              <w:rPr>
                <w:i/>
                <w:sz w:val="20"/>
              </w:rPr>
            </w:pPr>
            <w:r>
              <w:rPr>
                <w:i/>
                <w:w w:val="99"/>
                <w:sz w:val="20"/>
              </w:rPr>
              <w:t>p</w:t>
            </w:r>
          </w:p>
        </w:tc>
      </w:tr>
      <w:tr w:rsidR="00C94252">
        <w:trPr>
          <w:trHeight w:val="345"/>
        </w:trPr>
        <w:tc>
          <w:tcPr>
            <w:tcW w:w="2831" w:type="dxa"/>
            <w:gridSpan w:val="2"/>
            <w:tcBorders>
              <w:top w:val="single" w:sz="6" w:space="0" w:color="000000"/>
            </w:tcBorders>
          </w:tcPr>
          <w:p w:rsidR="00C94252" w:rsidRDefault="00A33443">
            <w:pPr>
              <w:pStyle w:val="TableParagraph"/>
              <w:spacing w:before="53"/>
              <w:ind w:left="875"/>
              <w:rPr>
                <w:sz w:val="20"/>
              </w:rPr>
            </w:pPr>
            <w:r>
              <w:rPr>
                <w:sz w:val="20"/>
              </w:rPr>
              <w:t>Overall mean</w:t>
            </w:r>
          </w:p>
        </w:tc>
        <w:tc>
          <w:tcPr>
            <w:tcW w:w="711" w:type="dxa"/>
            <w:tcBorders>
              <w:top w:val="single" w:sz="6" w:space="0" w:color="000000"/>
            </w:tcBorders>
          </w:tcPr>
          <w:p w:rsidR="00C94252" w:rsidRDefault="00A33443">
            <w:pPr>
              <w:pStyle w:val="TableParagraph"/>
              <w:spacing w:before="53"/>
              <w:ind w:right="98"/>
              <w:jc w:val="right"/>
              <w:rPr>
                <w:sz w:val="20"/>
              </w:rPr>
            </w:pPr>
            <w:r>
              <w:rPr>
                <w:w w:val="99"/>
                <w:sz w:val="20"/>
              </w:rPr>
              <w:t>-</w:t>
            </w:r>
          </w:p>
        </w:tc>
        <w:tc>
          <w:tcPr>
            <w:tcW w:w="725" w:type="dxa"/>
            <w:tcBorders>
              <w:top w:val="single" w:sz="6" w:space="0" w:color="000000"/>
            </w:tcBorders>
          </w:tcPr>
          <w:p w:rsidR="00C94252" w:rsidRDefault="00A33443">
            <w:pPr>
              <w:pStyle w:val="TableParagraph"/>
              <w:spacing w:before="53"/>
              <w:ind w:right="94"/>
              <w:jc w:val="right"/>
              <w:rPr>
                <w:sz w:val="20"/>
              </w:rPr>
            </w:pPr>
            <w:r>
              <w:rPr>
                <w:sz w:val="20"/>
              </w:rPr>
              <w:t>3,63</w:t>
            </w:r>
          </w:p>
        </w:tc>
        <w:tc>
          <w:tcPr>
            <w:tcW w:w="975" w:type="dxa"/>
            <w:tcBorders>
              <w:top w:val="single" w:sz="6" w:space="0" w:color="000000"/>
            </w:tcBorders>
          </w:tcPr>
          <w:p w:rsidR="00C94252" w:rsidRDefault="00A33443">
            <w:pPr>
              <w:pStyle w:val="TableParagraph"/>
              <w:spacing w:before="53"/>
              <w:ind w:right="95"/>
              <w:jc w:val="right"/>
              <w:rPr>
                <w:sz w:val="20"/>
              </w:rPr>
            </w:pPr>
            <w:r>
              <w:rPr>
                <w:sz w:val="20"/>
              </w:rPr>
              <w:t>3,45</w:t>
            </w:r>
          </w:p>
        </w:tc>
        <w:tc>
          <w:tcPr>
            <w:tcW w:w="994" w:type="dxa"/>
            <w:tcBorders>
              <w:top w:val="single" w:sz="6" w:space="0" w:color="000000"/>
            </w:tcBorders>
          </w:tcPr>
          <w:p w:rsidR="00C94252" w:rsidRDefault="00A33443">
            <w:pPr>
              <w:pStyle w:val="TableParagraph"/>
              <w:spacing w:before="53"/>
              <w:ind w:right="97"/>
              <w:jc w:val="right"/>
              <w:rPr>
                <w:sz w:val="20"/>
              </w:rPr>
            </w:pPr>
            <w:r>
              <w:rPr>
                <w:sz w:val="20"/>
              </w:rPr>
              <w:t>3,89</w:t>
            </w:r>
          </w:p>
        </w:tc>
        <w:tc>
          <w:tcPr>
            <w:tcW w:w="1133" w:type="dxa"/>
            <w:tcBorders>
              <w:top w:val="single" w:sz="6" w:space="0" w:color="000000"/>
            </w:tcBorders>
          </w:tcPr>
          <w:p w:rsidR="00C94252" w:rsidRDefault="00A33443">
            <w:pPr>
              <w:pStyle w:val="TableParagraph"/>
              <w:spacing w:before="53"/>
              <w:ind w:right="98"/>
              <w:jc w:val="right"/>
              <w:rPr>
                <w:sz w:val="20"/>
              </w:rPr>
            </w:pPr>
            <w:r>
              <w:rPr>
                <w:sz w:val="20"/>
              </w:rPr>
              <w:t>3,62</w:t>
            </w:r>
          </w:p>
        </w:tc>
        <w:tc>
          <w:tcPr>
            <w:tcW w:w="994" w:type="dxa"/>
            <w:tcBorders>
              <w:top w:val="single" w:sz="6" w:space="0" w:color="000000"/>
            </w:tcBorders>
          </w:tcPr>
          <w:p w:rsidR="00C94252" w:rsidRDefault="00A33443">
            <w:pPr>
              <w:pStyle w:val="TableParagraph"/>
              <w:spacing w:before="53"/>
              <w:ind w:right="95"/>
              <w:jc w:val="right"/>
              <w:rPr>
                <w:sz w:val="20"/>
              </w:rPr>
            </w:pPr>
            <w:r>
              <w:rPr>
                <w:sz w:val="20"/>
              </w:rPr>
              <w:t>3,38</w:t>
            </w:r>
          </w:p>
        </w:tc>
        <w:tc>
          <w:tcPr>
            <w:tcW w:w="749" w:type="dxa"/>
            <w:tcBorders>
              <w:top w:val="single" w:sz="6" w:space="0" w:color="000000"/>
            </w:tcBorders>
          </w:tcPr>
          <w:p w:rsidR="00C94252" w:rsidRDefault="00A33443">
            <w:pPr>
              <w:pStyle w:val="TableParagraph"/>
              <w:spacing w:before="53"/>
              <w:ind w:left="3"/>
              <w:jc w:val="center"/>
              <w:rPr>
                <w:i/>
                <w:sz w:val="20"/>
              </w:rPr>
            </w:pPr>
            <w:r>
              <w:rPr>
                <w:i/>
                <w:w w:val="99"/>
                <w:sz w:val="20"/>
              </w:rPr>
              <w:t>-</w:t>
            </w:r>
          </w:p>
        </w:tc>
      </w:tr>
      <w:tr w:rsidR="00C94252">
        <w:trPr>
          <w:trHeight w:val="359"/>
        </w:trPr>
        <w:tc>
          <w:tcPr>
            <w:tcW w:w="509" w:type="dxa"/>
          </w:tcPr>
          <w:p w:rsidR="00C94252" w:rsidRDefault="00A33443">
            <w:pPr>
              <w:pStyle w:val="TableParagraph"/>
              <w:spacing w:before="60"/>
              <w:ind w:left="13"/>
              <w:jc w:val="center"/>
              <w:rPr>
                <w:sz w:val="20"/>
              </w:rPr>
            </w:pPr>
            <w:r>
              <w:rPr>
                <w:w w:val="99"/>
                <w:sz w:val="20"/>
              </w:rPr>
              <w:t>1</w:t>
            </w:r>
          </w:p>
        </w:tc>
        <w:tc>
          <w:tcPr>
            <w:tcW w:w="2322" w:type="dxa"/>
          </w:tcPr>
          <w:p w:rsidR="00C94252" w:rsidRDefault="00A33443">
            <w:pPr>
              <w:pStyle w:val="TableParagraph"/>
              <w:spacing w:before="65"/>
              <w:ind w:left="107"/>
              <w:rPr>
                <w:b/>
                <w:sz w:val="20"/>
              </w:rPr>
            </w:pPr>
            <w:r>
              <w:rPr>
                <w:b/>
                <w:sz w:val="20"/>
              </w:rPr>
              <w:t>*Lack of social justice</w:t>
            </w:r>
          </w:p>
        </w:tc>
        <w:tc>
          <w:tcPr>
            <w:tcW w:w="711" w:type="dxa"/>
          </w:tcPr>
          <w:p w:rsidR="00C94252" w:rsidRDefault="00A33443">
            <w:pPr>
              <w:pStyle w:val="TableParagraph"/>
              <w:spacing w:before="60"/>
              <w:ind w:right="95"/>
              <w:jc w:val="right"/>
              <w:rPr>
                <w:sz w:val="20"/>
              </w:rPr>
            </w:pPr>
            <w:r>
              <w:rPr>
                <w:sz w:val="20"/>
              </w:rPr>
              <w:t>65</w:t>
            </w:r>
          </w:p>
        </w:tc>
        <w:tc>
          <w:tcPr>
            <w:tcW w:w="725" w:type="dxa"/>
          </w:tcPr>
          <w:p w:rsidR="00C94252" w:rsidRDefault="00A33443">
            <w:pPr>
              <w:pStyle w:val="TableParagraph"/>
              <w:spacing w:before="60"/>
              <w:ind w:right="94"/>
              <w:jc w:val="right"/>
              <w:rPr>
                <w:sz w:val="20"/>
              </w:rPr>
            </w:pPr>
            <w:r>
              <w:rPr>
                <w:sz w:val="20"/>
              </w:rPr>
              <w:t>3,67</w:t>
            </w:r>
          </w:p>
        </w:tc>
        <w:tc>
          <w:tcPr>
            <w:tcW w:w="975" w:type="dxa"/>
          </w:tcPr>
          <w:p w:rsidR="00C94252" w:rsidRDefault="00A33443">
            <w:pPr>
              <w:pStyle w:val="TableParagraph"/>
              <w:spacing w:before="60"/>
              <w:ind w:right="95"/>
              <w:jc w:val="right"/>
              <w:rPr>
                <w:sz w:val="20"/>
              </w:rPr>
            </w:pPr>
            <w:r>
              <w:rPr>
                <w:sz w:val="20"/>
              </w:rPr>
              <w:t>3,64</w:t>
            </w:r>
          </w:p>
        </w:tc>
        <w:tc>
          <w:tcPr>
            <w:tcW w:w="994" w:type="dxa"/>
          </w:tcPr>
          <w:p w:rsidR="00C94252" w:rsidRDefault="00A33443">
            <w:pPr>
              <w:pStyle w:val="TableParagraph"/>
              <w:spacing w:before="60"/>
              <w:ind w:right="97"/>
              <w:jc w:val="right"/>
              <w:rPr>
                <w:sz w:val="20"/>
              </w:rPr>
            </w:pPr>
            <w:r>
              <w:rPr>
                <w:sz w:val="20"/>
              </w:rPr>
              <w:t>3,95</w:t>
            </w:r>
          </w:p>
        </w:tc>
        <w:tc>
          <w:tcPr>
            <w:tcW w:w="1133" w:type="dxa"/>
          </w:tcPr>
          <w:p w:rsidR="00C94252" w:rsidRDefault="00A33443">
            <w:pPr>
              <w:pStyle w:val="TableParagraph"/>
              <w:spacing w:before="60"/>
              <w:ind w:right="98"/>
              <w:jc w:val="right"/>
              <w:rPr>
                <w:sz w:val="20"/>
              </w:rPr>
            </w:pPr>
            <w:r>
              <w:rPr>
                <w:sz w:val="20"/>
              </w:rPr>
              <w:t>3,77</w:t>
            </w:r>
          </w:p>
        </w:tc>
        <w:tc>
          <w:tcPr>
            <w:tcW w:w="994" w:type="dxa"/>
          </w:tcPr>
          <w:p w:rsidR="00C94252" w:rsidRDefault="00A33443">
            <w:pPr>
              <w:pStyle w:val="TableParagraph"/>
              <w:spacing w:before="60"/>
              <w:ind w:right="95"/>
              <w:jc w:val="right"/>
              <w:rPr>
                <w:sz w:val="20"/>
              </w:rPr>
            </w:pPr>
            <w:r>
              <w:rPr>
                <w:sz w:val="20"/>
              </w:rPr>
              <w:t>2,75</w:t>
            </w:r>
          </w:p>
        </w:tc>
        <w:tc>
          <w:tcPr>
            <w:tcW w:w="749" w:type="dxa"/>
          </w:tcPr>
          <w:p w:rsidR="00C94252" w:rsidRDefault="00A33443">
            <w:pPr>
              <w:pStyle w:val="TableParagraph"/>
              <w:spacing w:before="65"/>
              <w:ind w:left="166" w:right="80"/>
              <w:jc w:val="center"/>
              <w:rPr>
                <w:b/>
                <w:sz w:val="20"/>
              </w:rPr>
            </w:pPr>
            <w:r>
              <w:rPr>
                <w:b/>
                <w:sz w:val="20"/>
              </w:rPr>
              <w:t>0,097</w:t>
            </w:r>
          </w:p>
        </w:tc>
      </w:tr>
      <w:tr w:rsidR="00C94252">
        <w:trPr>
          <w:trHeight w:val="520"/>
        </w:trPr>
        <w:tc>
          <w:tcPr>
            <w:tcW w:w="509" w:type="dxa"/>
          </w:tcPr>
          <w:p w:rsidR="00C94252" w:rsidRDefault="00A33443">
            <w:pPr>
              <w:pStyle w:val="TableParagraph"/>
              <w:spacing w:before="142"/>
              <w:ind w:left="13"/>
              <w:jc w:val="center"/>
              <w:rPr>
                <w:sz w:val="20"/>
              </w:rPr>
            </w:pPr>
            <w:r>
              <w:rPr>
                <w:w w:val="99"/>
                <w:sz w:val="20"/>
              </w:rPr>
              <w:t>2</w:t>
            </w:r>
          </w:p>
        </w:tc>
        <w:tc>
          <w:tcPr>
            <w:tcW w:w="2322" w:type="dxa"/>
          </w:tcPr>
          <w:p w:rsidR="00C94252" w:rsidRDefault="00A33443">
            <w:pPr>
              <w:pStyle w:val="TableParagraph"/>
              <w:spacing w:before="26"/>
              <w:ind w:left="107" w:right="1118"/>
              <w:rPr>
                <w:sz w:val="20"/>
              </w:rPr>
            </w:pPr>
            <w:r>
              <w:rPr>
                <w:sz w:val="20"/>
              </w:rPr>
              <w:t>Participation inappropriate</w:t>
            </w:r>
          </w:p>
        </w:tc>
        <w:tc>
          <w:tcPr>
            <w:tcW w:w="711" w:type="dxa"/>
          </w:tcPr>
          <w:p w:rsidR="00C94252" w:rsidRDefault="00A33443">
            <w:pPr>
              <w:pStyle w:val="TableParagraph"/>
              <w:spacing w:before="142"/>
              <w:ind w:right="95"/>
              <w:jc w:val="right"/>
              <w:rPr>
                <w:sz w:val="20"/>
              </w:rPr>
            </w:pPr>
            <w:r>
              <w:rPr>
                <w:sz w:val="20"/>
              </w:rPr>
              <w:t>67</w:t>
            </w:r>
          </w:p>
        </w:tc>
        <w:tc>
          <w:tcPr>
            <w:tcW w:w="725" w:type="dxa"/>
          </w:tcPr>
          <w:p w:rsidR="00C94252" w:rsidRDefault="00A33443">
            <w:pPr>
              <w:pStyle w:val="TableParagraph"/>
              <w:spacing w:before="142"/>
              <w:ind w:right="94"/>
              <w:jc w:val="right"/>
              <w:rPr>
                <w:sz w:val="20"/>
              </w:rPr>
            </w:pPr>
            <w:r>
              <w:rPr>
                <w:sz w:val="20"/>
              </w:rPr>
              <w:t>3,62</w:t>
            </w:r>
          </w:p>
        </w:tc>
        <w:tc>
          <w:tcPr>
            <w:tcW w:w="975" w:type="dxa"/>
          </w:tcPr>
          <w:p w:rsidR="00C94252" w:rsidRDefault="00A33443">
            <w:pPr>
              <w:pStyle w:val="TableParagraph"/>
              <w:spacing w:before="142"/>
              <w:ind w:right="95"/>
              <w:jc w:val="right"/>
              <w:rPr>
                <w:sz w:val="20"/>
              </w:rPr>
            </w:pPr>
            <w:r>
              <w:rPr>
                <w:sz w:val="20"/>
              </w:rPr>
              <w:t>3,33</w:t>
            </w:r>
          </w:p>
        </w:tc>
        <w:tc>
          <w:tcPr>
            <w:tcW w:w="994" w:type="dxa"/>
          </w:tcPr>
          <w:p w:rsidR="00C94252" w:rsidRDefault="00A33443">
            <w:pPr>
              <w:pStyle w:val="TableParagraph"/>
              <w:spacing w:before="142"/>
              <w:ind w:right="97"/>
              <w:jc w:val="right"/>
              <w:rPr>
                <w:sz w:val="20"/>
              </w:rPr>
            </w:pPr>
            <w:r>
              <w:rPr>
                <w:sz w:val="20"/>
              </w:rPr>
              <w:t>4,00</w:t>
            </w:r>
          </w:p>
        </w:tc>
        <w:tc>
          <w:tcPr>
            <w:tcW w:w="1133" w:type="dxa"/>
          </w:tcPr>
          <w:p w:rsidR="00C94252" w:rsidRDefault="00A33443">
            <w:pPr>
              <w:pStyle w:val="TableParagraph"/>
              <w:spacing w:before="142"/>
              <w:ind w:right="98"/>
              <w:jc w:val="right"/>
              <w:rPr>
                <w:sz w:val="20"/>
              </w:rPr>
            </w:pPr>
            <w:r>
              <w:rPr>
                <w:sz w:val="20"/>
              </w:rPr>
              <w:t>3,69</w:t>
            </w:r>
          </w:p>
        </w:tc>
        <w:tc>
          <w:tcPr>
            <w:tcW w:w="994" w:type="dxa"/>
          </w:tcPr>
          <w:p w:rsidR="00C94252" w:rsidRDefault="00A33443">
            <w:pPr>
              <w:pStyle w:val="TableParagraph"/>
              <w:spacing w:before="142"/>
              <w:ind w:right="95"/>
              <w:jc w:val="right"/>
              <w:rPr>
                <w:sz w:val="20"/>
              </w:rPr>
            </w:pPr>
            <w:r>
              <w:rPr>
                <w:sz w:val="20"/>
              </w:rPr>
              <w:t>3,11</w:t>
            </w:r>
          </w:p>
        </w:tc>
        <w:tc>
          <w:tcPr>
            <w:tcW w:w="749" w:type="dxa"/>
          </w:tcPr>
          <w:p w:rsidR="00C94252" w:rsidRDefault="00A33443">
            <w:pPr>
              <w:pStyle w:val="TableParagraph"/>
              <w:spacing w:before="142"/>
              <w:ind w:left="166" w:right="80"/>
              <w:jc w:val="center"/>
              <w:rPr>
                <w:sz w:val="20"/>
              </w:rPr>
            </w:pPr>
            <w:r>
              <w:rPr>
                <w:sz w:val="20"/>
              </w:rPr>
              <w:t>0,163</w:t>
            </w:r>
          </w:p>
        </w:tc>
      </w:tr>
      <w:tr w:rsidR="00C94252">
        <w:trPr>
          <w:trHeight w:val="359"/>
        </w:trPr>
        <w:tc>
          <w:tcPr>
            <w:tcW w:w="509" w:type="dxa"/>
          </w:tcPr>
          <w:p w:rsidR="00C94252" w:rsidRDefault="00A33443">
            <w:pPr>
              <w:pStyle w:val="TableParagraph"/>
              <w:spacing w:before="60"/>
              <w:ind w:left="13"/>
              <w:jc w:val="center"/>
              <w:rPr>
                <w:sz w:val="20"/>
              </w:rPr>
            </w:pPr>
            <w:r>
              <w:rPr>
                <w:w w:val="99"/>
                <w:sz w:val="20"/>
              </w:rPr>
              <w:t>3</w:t>
            </w:r>
          </w:p>
        </w:tc>
        <w:tc>
          <w:tcPr>
            <w:tcW w:w="2322" w:type="dxa"/>
          </w:tcPr>
          <w:p w:rsidR="00C94252" w:rsidRDefault="00A33443">
            <w:pPr>
              <w:pStyle w:val="TableParagraph"/>
              <w:spacing w:before="65"/>
              <w:ind w:left="107"/>
              <w:rPr>
                <w:b/>
                <w:sz w:val="20"/>
              </w:rPr>
            </w:pPr>
            <w:r>
              <w:rPr>
                <w:b/>
                <w:sz w:val="20"/>
              </w:rPr>
              <w:t>*Local image concerns</w:t>
            </w:r>
          </w:p>
        </w:tc>
        <w:tc>
          <w:tcPr>
            <w:tcW w:w="711" w:type="dxa"/>
          </w:tcPr>
          <w:p w:rsidR="00C94252" w:rsidRDefault="00A33443">
            <w:pPr>
              <w:pStyle w:val="TableParagraph"/>
              <w:spacing w:before="60"/>
              <w:ind w:right="95"/>
              <w:jc w:val="right"/>
              <w:rPr>
                <w:sz w:val="20"/>
              </w:rPr>
            </w:pPr>
            <w:r>
              <w:rPr>
                <w:sz w:val="20"/>
              </w:rPr>
              <w:t>68</w:t>
            </w:r>
          </w:p>
        </w:tc>
        <w:tc>
          <w:tcPr>
            <w:tcW w:w="725" w:type="dxa"/>
          </w:tcPr>
          <w:p w:rsidR="00C94252" w:rsidRDefault="00A33443">
            <w:pPr>
              <w:pStyle w:val="TableParagraph"/>
              <w:spacing w:before="60"/>
              <w:ind w:right="94"/>
              <w:jc w:val="right"/>
              <w:rPr>
                <w:sz w:val="20"/>
              </w:rPr>
            </w:pPr>
            <w:r>
              <w:rPr>
                <w:sz w:val="20"/>
              </w:rPr>
              <w:t>3,30</w:t>
            </w:r>
          </w:p>
        </w:tc>
        <w:tc>
          <w:tcPr>
            <w:tcW w:w="975" w:type="dxa"/>
          </w:tcPr>
          <w:p w:rsidR="00C94252" w:rsidRDefault="00A33443">
            <w:pPr>
              <w:pStyle w:val="TableParagraph"/>
              <w:spacing w:before="60"/>
              <w:ind w:right="95"/>
              <w:jc w:val="right"/>
              <w:rPr>
                <w:sz w:val="20"/>
              </w:rPr>
            </w:pPr>
            <w:r>
              <w:rPr>
                <w:sz w:val="20"/>
              </w:rPr>
              <w:t>2,58</w:t>
            </w:r>
          </w:p>
        </w:tc>
        <w:tc>
          <w:tcPr>
            <w:tcW w:w="994" w:type="dxa"/>
          </w:tcPr>
          <w:p w:rsidR="00C94252" w:rsidRDefault="00A33443">
            <w:pPr>
              <w:pStyle w:val="TableParagraph"/>
              <w:spacing w:before="60"/>
              <w:ind w:right="97"/>
              <w:jc w:val="right"/>
              <w:rPr>
                <w:sz w:val="20"/>
              </w:rPr>
            </w:pPr>
            <w:r>
              <w:rPr>
                <w:sz w:val="20"/>
              </w:rPr>
              <w:t>3,80</w:t>
            </w:r>
          </w:p>
        </w:tc>
        <w:tc>
          <w:tcPr>
            <w:tcW w:w="1133" w:type="dxa"/>
          </w:tcPr>
          <w:p w:rsidR="00C94252" w:rsidRDefault="00A33443">
            <w:pPr>
              <w:pStyle w:val="TableParagraph"/>
              <w:spacing w:before="60"/>
              <w:ind w:right="98"/>
              <w:jc w:val="right"/>
              <w:rPr>
                <w:sz w:val="20"/>
              </w:rPr>
            </w:pPr>
            <w:r>
              <w:rPr>
                <w:sz w:val="20"/>
              </w:rPr>
              <w:t>3,22</w:t>
            </w:r>
          </w:p>
        </w:tc>
        <w:tc>
          <w:tcPr>
            <w:tcW w:w="994" w:type="dxa"/>
          </w:tcPr>
          <w:p w:rsidR="00C94252" w:rsidRDefault="00A33443">
            <w:pPr>
              <w:pStyle w:val="TableParagraph"/>
              <w:spacing w:before="60"/>
              <w:ind w:right="95"/>
              <w:jc w:val="right"/>
              <w:rPr>
                <w:sz w:val="20"/>
              </w:rPr>
            </w:pPr>
            <w:r>
              <w:rPr>
                <w:sz w:val="20"/>
              </w:rPr>
              <w:t>3,56</w:t>
            </w:r>
          </w:p>
        </w:tc>
        <w:tc>
          <w:tcPr>
            <w:tcW w:w="749" w:type="dxa"/>
          </w:tcPr>
          <w:p w:rsidR="00C94252" w:rsidRDefault="00A33443">
            <w:pPr>
              <w:pStyle w:val="TableParagraph"/>
              <w:spacing w:before="65"/>
              <w:ind w:left="165" w:right="81"/>
              <w:jc w:val="center"/>
              <w:rPr>
                <w:b/>
                <w:sz w:val="20"/>
              </w:rPr>
            </w:pPr>
            <w:r>
              <w:rPr>
                <w:b/>
                <w:sz w:val="20"/>
              </w:rPr>
              <w:t>0,051</w:t>
            </w:r>
          </w:p>
        </w:tc>
      </w:tr>
      <w:tr w:rsidR="00C94252">
        <w:trPr>
          <w:trHeight w:val="520"/>
        </w:trPr>
        <w:tc>
          <w:tcPr>
            <w:tcW w:w="509" w:type="dxa"/>
          </w:tcPr>
          <w:p w:rsidR="00C94252" w:rsidRDefault="00A33443">
            <w:pPr>
              <w:pStyle w:val="TableParagraph"/>
              <w:spacing w:before="142"/>
              <w:ind w:left="13"/>
              <w:jc w:val="center"/>
              <w:rPr>
                <w:sz w:val="20"/>
              </w:rPr>
            </w:pPr>
            <w:r>
              <w:rPr>
                <w:w w:val="99"/>
                <w:sz w:val="20"/>
              </w:rPr>
              <w:t>4</w:t>
            </w:r>
          </w:p>
        </w:tc>
        <w:tc>
          <w:tcPr>
            <w:tcW w:w="2322" w:type="dxa"/>
          </w:tcPr>
          <w:p w:rsidR="00C94252" w:rsidRDefault="00A33443">
            <w:pPr>
              <w:pStyle w:val="TableParagraph"/>
              <w:spacing w:before="31"/>
              <w:ind w:left="107" w:right="129"/>
              <w:rPr>
                <w:b/>
                <w:sz w:val="20"/>
              </w:rPr>
            </w:pPr>
            <w:r>
              <w:rPr>
                <w:b/>
                <w:sz w:val="20"/>
              </w:rPr>
              <w:t>*Encroachment into the landscape</w:t>
            </w:r>
          </w:p>
        </w:tc>
        <w:tc>
          <w:tcPr>
            <w:tcW w:w="711" w:type="dxa"/>
          </w:tcPr>
          <w:p w:rsidR="00C94252" w:rsidRDefault="00A33443">
            <w:pPr>
              <w:pStyle w:val="TableParagraph"/>
              <w:spacing w:before="142"/>
              <w:ind w:right="95"/>
              <w:jc w:val="right"/>
              <w:rPr>
                <w:sz w:val="20"/>
              </w:rPr>
            </w:pPr>
            <w:r>
              <w:rPr>
                <w:sz w:val="20"/>
              </w:rPr>
              <w:t>68</w:t>
            </w:r>
          </w:p>
        </w:tc>
        <w:tc>
          <w:tcPr>
            <w:tcW w:w="725" w:type="dxa"/>
          </w:tcPr>
          <w:p w:rsidR="00C94252" w:rsidRDefault="00A33443">
            <w:pPr>
              <w:pStyle w:val="TableParagraph"/>
              <w:spacing w:before="142"/>
              <w:ind w:right="94"/>
              <w:jc w:val="right"/>
              <w:rPr>
                <w:sz w:val="20"/>
              </w:rPr>
            </w:pPr>
            <w:r>
              <w:rPr>
                <w:sz w:val="20"/>
              </w:rPr>
              <w:t>4,16</w:t>
            </w:r>
          </w:p>
        </w:tc>
        <w:tc>
          <w:tcPr>
            <w:tcW w:w="975" w:type="dxa"/>
          </w:tcPr>
          <w:p w:rsidR="00C94252" w:rsidRDefault="00A33443">
            <w:pPr>
              <w:pStyle w:val="TableParagraph"/>
              <w:spacing w:before="142"/>
              <w:ind w:right="95"/>
              <w:jc w:val="right"/>
              <w:rPr>
                <w:sz w:val="20"/>
              </w:rPr>
            </w:pPr>
            <w:r>
              <w:rPr>
                <w:sz w:val="20"/>
              </w:rPr>
              <w:t>4,58</w:t>
            </w:r>
          </w:p>
        </w:tc>
        <w:tc>
          <w:tcPr>
            <w:tcW w:w="994" w:type="dxa"/>
          </w:tcPr>
          <w:p w:rsidR="00C94252" w:rsidRDefault="00A33443">
            <w:pPr>
              <w:pStyle w:val="TableParagraph"/>
              <w:spacing w:before="142"/>
              <w:ind w:right="97"/>
              <w:jc w:val="right"/>
              <w:rPr>
                <w:sz w:val="20"/>
              </w:rPr>
            </w:pPr>
            <w:r>
              <w:rPr>
                <w:sz w:val="20"/>
              </w:rPr>
              <w:t>4,45</w:t>
            </w:r>
          </w:p>
        </w:tc>
        <w:tc>
          <w:tcPr>
            <w:tcW w:w="1133" w:type="dxa"/>
          </w:tcPr>
          <w:p w:rsidR="00C94252" w:rsidRDefault="00A33443">
            <w:pPr>
              <w:pStyle w:val="TableParagraph"/>
              <w:spacing w:before="142"/>
              <w:ind w:right="98"/>
              <w:jc w:val="right"/>
              <w:rPr>
                <w:sz w:val="20"/>
              </w:rPr>
            </w:pPr>
            <w:r>
              <w:rPr>
                <w:sz w:val="20"/>
              </w:rPr>
              <w:t>3,74</w:t>
            </w:r>
          </w:p>
        </w:tc>
        <w:tc>
          <w:tcPr>
            <w:tcW w:w="994" w:type="dxa"/>
          </w:tcPr>
          <w:p w:rsidR="00C94252" w:rsidRDefault="00A33443">
            <w:pPr>
              <w:pStyle w:val="TableParagraph"/>
              <w:spacing w:before="142"/>
              <w:ind w:right="95"/>
              <w:jc w:val="right"/>
              <w:rPr>
                <w:sz w:val="20"/>
              </w:rPr>
            </w:pPr>
            <w:r>
              <w:rPr>
                <w:sz w:val="20"/>
              </w:rPr>
              <w:t>4,11</w:t>
            </w:r>
          </w:p>
        </w:tc>
        <w:tc>
          <w:tcPr>
            <w:tcW w:w="749" w:type="dxa"/>
          </w:tcPr>
          <w:p w:rsidR="00C94252" w:rsidRDefault="00A33443">
            <w:pPr>
              <w:pStyle w:val="TableParagraph"/>
              <w:spacing w:before="146"/>
              <w:ind w:left="166" w:right="80"/>
              <w:jc w:val="center"/>
              <w:rPr>
                <w:b/>
                <w:sz w:val="20"/>
              </w:rPr>
            </w:pPr>
            <w:r>
              <w:rPr>
                <w:b/>
                <w:sz w:val="20"/>
              </w:rPr>
              <w:t>0,064</w:t>
            </w:r>
          </w:p>
        </w:tc>
      </w:tr>
      <w:tr w:rsidR="00C94252">
        <w:trPr>
          <w:trHeight w:val="381"/>
        </w:trPr>
        <w:tc>
          <w:tcPr>
            <w:tcW w:w="509" w:type="dxa"/>
          </w:tcPr>
          <w:p w:rsidR="00C94252" w:rsidRDefault="00A33443">
            <w:pPr>
              <w:pStyle w:val="TableParagraph"/>
              <w:spacing w:before="72"/>
              <w:ind w:left="13"/>
              <w:jc w:val="center"/>
              <w:rPr>
                <w:sz w:val="20"/>
              </w:rPr>
            </w:pPr>
            <w:r>
              <w:rPr>
                <w:w w:val="99"/>
                <w:sz w:val="20"/>
              </w:rPr>
              <w:t>5</w:t>
            </w:r>
          </w:p>
        </w:tc>
        <w:tc>
          <w:tcPr>
            <w:tcW w:w="2322" w:type="dxa"/>
          </w:tcPr>
          <w:p w:rsidR="00C94252" w:rsidRDefault="00A33443">
            <w:pPr>
              <w:pStyle w:val="TableParagraph"/>
              <w:spacing w:before="72"/>
              <w:ind w:left="107"/>
              <w:rPr>
                <w:sz w:val="20"/>
              </w:rPr>
            </w:pPr>
            <w:r>
              <w:rPr>
                <w:sz w:val="20"/>
              </w:rPr>
              <w:t>Environmental concerns</w:t>
            </w:r>
          </w:p>
        </w:tc>
        <w:tc>
          <w:tcPr>
            <w:tcW w:w="711" w:type="dxa"/>
          </w:tcPr>
          <w:p w:rsidR="00C94252" w:rsidRDefault="00A33443">
            <w:pPr>
              <w:pStyle w:val="TableParagraph"/>
              <w:spacing w:before="72"/>
              <w:ind w:right="95"/>
              <w:jc w:val="right"/>
              <w:rPr>
                <w:sz w:val="20"/>
              </w:rPr>
            </w:pPr>
            <w:r>
              <w:rPr>
                <w:sz w:val="20"/>
              </w:rPr>
              <w:t>66</w:t>
            </w:r>
          </w:p>
        </w:tc>
        <w:tc>
          <w:tcPr>
            <w:tcW w:w="725" w:type="dxa"/>
          </w:tcPr>
          <w:p w:rsidR="00C94252" w:rsidRDefault="00A33443">
            <w:pPr>
              <w:pStyle w:val="TableParagraph"/>
              <w:spacing w:before="72"/>
              <w:ind w:right="94"/>
              <w:jc w:val="right"/>
              <w:rPr>
                <w:sz w:val="20"/>
              </w:rPr>
            </w:pPr>
            <w:r>
              <w:rPr>
                <w:sz w:val="20"/>
              </w:rPr>
              <w:t>3,79</w:t>
            </w:r>
          </w:p>
        </w:tc>
        <w:tc>
          <w:tcPr>
            <w:tcW w:w="975" w:type="dxa"/>
          </w:tcPr>
          <w:p w:rsidR="00C94252" w:rsidRDefault="00A33443">
            <w:pPr>
              <w:pStyle w:val="TableParagraph"/>
              <w:spacing w:before="72"/>
              <w:ind w:right="95"/>
              <w:jc w:val="right"/>
              <w:rPr>
                <w:sz w:val="20"/>
              </w:rPr>
            </w:pPr>
            <w:r>
              <w:rPr>
                <w:sz w:val="20"/>
              </w:rPr>
              <w:t>4,30</w:t>
            </w:r>
          </w:p>
        </w:tc>
        <w:tc>
          <w:tcPr>
            <w:tcW w:w="994" w:type="dxa"/>
          </w:tcPr>
          <w:p w:rsidR="00C94252" w:rsidRDefault="00A33443">
            <w:pPr>
              <w:pStyle w:val="TableParagraph"/>
              <w:spacing w:before="72"/>
              <w:ind w:right="97"/>
              <w:jc w:val="right"/>
              <w:rPr>
                <w:sz w:val="20"/>
              </w:rPr>
            </w:pPr>
            <w:r>
              <w:rPr>
                <w:sz w:val="20"/>
              </w:rPr>
              <w:t>3,89</w:t>
            </w:r>
          </w:p>
        </w:tc>
        <w:tc>
          <w:tcPr>
            <w:tcW w:w="1133" w:type="dxa"/>
          </w:tcPr>
          <w:p w:rsidR="00C94252" w:rsidRDefault="00A33443">
            <w:pPr>
              <w:pStyle w:val="TableParagraph"/>
              <w:spacing w:before="72"/>
              <w:ind w:right="98"/>
              <w:jc w:val="right"/>
              <w:rPr>
                <w:sz w:val="20"/>
              </w:rPr>
            </w:pPr>
            <w:r>
              <w:rPr>
                <w:sz w:val="20"/>
              </w:rPr>
              <w:t>3,54</w:t>
            </w:r>
          </w:p>
        </w:tc>
        <w:tc>
          <w:tcPr>
            <w:tcW w:w="994" w:type="dxa"/>
          </w:tcPr>
          <w:p w:rsidR="00C94252" w:rsidRDefault="00A33443">
            <w:pPr>
              <w:pStyle w:val="TableParagraph"/>
              <w:spacing w:before="72"/>
              <w:ind w:right="95"/>
              <w:jc w:val="right"/>
              <w:rPr>
                <w:sz w:val="20"/>
              </w:rPr>
            </w:pPr>
            <w:r>
              <w:rPr>
                <w:sz w:val="20"/>
              </w:rPr>
              <w:t>3,67</w:t>
            </w:r>
          </w:p>
        </w:tc>
        <w:tc>
          <w:tcPr>
            <w:tcW w:w="749" w:type="dxa"/>
          </w:tcPr>
          <w:p w:rsidR="00C94252" w:rsidRDefault="00A33443">
            <w:pPr>
              <w:pStyle w:val="TableParagraph"/>
              <w:spacing w:before="72"/>
              <w:ind w:left="166" w:right="80"/>
              <w:jc w:val="center"/>
              <w:rPr>
                <w:sz w:val="20"/>
              </w:rPr>
            </w:pPr>
            <w:r>
              <w:rPr>
                <w:sz w:val="20"/>
              </w:rPr>
              <w:t>0,313</w:t>
            </w:r>
          </w:p>
        </w:tc>
      </w:tr>
      <w:tr w:rsidR="00C94252">
        <w:trPr>
          <w:trHeight w:val="361"/>
        </w:trPr>
        <w:tc>
          <w:tcPr>
            <w:tcW w:w="509" w:type="dxa"/>
          </w:tcPr>
          <w:p w:rsidR="00C94252" w:rsidRDefault="00A33443">
            <w:pPr>
              <w:pStyle w:val="TableParagraph"/>
              <w:spacing w:before="60"/>
              <w:ind w:left="13"/>
              <w:jc w:val="center"/>
              <w:rPr>
                <w:sz w:val="20"/>
              </w:rPr>
            </w:pPr>
            <w:r>
              <w:rPr>
                <w:w w:val="99"/>
                <w:sz w:val="20"/>
              </w:rPr>
              <w:t>6</w:t>
            </w:r>
          </w:p>
        </w:tc>
        <w:tc>
          <w:tcPr>
            <w:tcW w:w="2322" w:type="dxa"/>
          </w:tcPr>
          <w:p w:rsidR="00C94252" w:rsidRDefault="00A33443">
            <w:pPr>
              <w:pStyle w:val="TableParagraph"/>
              <w:spacing w:before="60"/>
              <w:ind w:left="107"/>
              <w:rPr>
                <w:sz w:val="20"/>
              </w:rPr>
            </w:pPr>
            <w:r>
              <w:rPr>
                <w:sz w:val="20"/>
              </w:rPr>
              <w:t>Conflict</w:t>
            </w:r>
          </w:p>
        </w:tc>
        <w:tc>
          <w:tcPr>
            <w:tcW w:w="711" w:type="dxa"/>
          </w:tcPr>
          <w:p w:rsidR="00C94252" w:rsidRDefault="00A33443">
            <w:pPr>
              <w:pStyle w:val="TableParagraph"/>
              <w:spacing w:before="60"/>
              <w:ind w:right="95"/>
              <w:jc w:val="right"/>
              <w:rPr>
                <w:sz w:val="20"/>
              </w:rPr>
            </w:pPr>
            <w:r>
              <w:rPr>
                <w:sz w:val="20"/>
              </w:rPr>
              <w:t>67</w:t>
            </w:r>
          </w:p>
        </w:tc>
        <w:tc>
          <w:tcPr>
            <w:tcW w:w="725" w:type="dxa"/>
          </w:tcPr>
          <w:p w:rsidR="00C94252" w:rsidRDefault="00A33443">
            <w:pPr>
              <w:pStyle w:val="TableParagraph"/>
              <w:spacing w:before="60"/>
              <w:ind w:right="94"/>
              <w:jc w:val="right"/>
              <w:rPr>
                <w:sz w:val="20"/>
              </w:rPr>
            </w:pPr>
            <w:r>
              <w:rPr>
                <w:sz w:val="20"/>
              </w:rPr>
              <w:t>3,28</w:t>
            </w:r>
          </w:p>
        </w:tc>
        <w:tc>
          <w:tcPr>
            <w:tcW w:w="975" w:type="dxa"/>
          </w:tcPr>
          <w:p w:rsidR="00C94252" w:rsidRDefault="00A33443">
            <w:pPr>
              <w:pStyle w:val="TableParagraph"/>
              <w:spacing w:before="60"/>
              <w:ind w:right="95"/>
              <w:jc w:val="right"/>
              <w:rPr>
                <w:sz w:val="20"/>
              </w:rPr>
            </w:pPr>
            <w:r>
              <w:rPr>
                <w:sz w:val="20"/>
              </w:rPr>
              <w:t>3,50</w:t>
            </w:r>
          </w:p>
        </w:tc>
        <w:tc>
          <w:tcPr>
            <w:tcW w:w="994" w:type="dxa"/>
          </w:tcPr>
          <w:p w:rsidR="00C94252" w:rsidRDefault="00A33443">
            <w:pPr>
              <w:pStyle w:val="TableParagraph"/>
              <w:spacing w:before="60"/>
              <w:ind w:right="97"/>
              <w:jc w:val="right"/>
              <w:rPr>
                <w:sz w:val="20"/>
              </w:rPr>
            </w:pPr>
            <w:r>
              <w:rPr>
                <w:sz w:val="20"/>
              </w:rPr>
              <w:t>3,40</w:t>
            </w:r>
          </w:p>
        </w:tc>
        <w:tc>
          <w:tcPr>
            <w:tcW w:w="1133" w:type="dxa"/>
          </w:tcPr>
          <w:p w:rsidR="00C94252" w:rsidRDefault="00A33443">
            <w:pPr>
              <w:pStyle w:val="TableParagraph"/>
              <w:spacing w:before="60"/>
              <w:ind w:right="98"/>
              <w:jc w:val="right"/>
              <w:rPr>
                <w:sz w:val="20"/>
              </w:rPr>
            </w:pPr>
            <w:r>
              <w:rPr>
                <w:sz w:val="20"/>
              </w:rPr>
              <w:t>3,15</w:t>
            </w:r>
          </w:p>
        </w:tc>
        <w:tc>
          <w:tcPr>
            <w:tcW w:w="994" w:type="dxa"/>
          </w:tcPr>
          <w:p w:rsidR="00C94252" w:rsidRDefault="00A33443">
            <w:pPr>
              <w:pStyle w:val="TableParagraph"/>
              <w:spacing w:before="60"/>
              <w:ind w:right="95"/>
              <w:jc w:val="right"/>
              <w:rPr>
                <w:sz w:val="20"/>
              </w:rPr>
            </w:pPr>
            <w:r>
              <w:rPr>
                <w:sz w:val="20"/>
              </w:rPr>
              <w:t>3,13</w:t>
            </w:r>
          </w:p>
        </w:tc>
        <w:tc>
          <w:tcPr>
            <w:tcW w:w="749" w:type="dxa"/>
          </w:tcPr>
          <w:p w:rsidR="00C94252" w:rsidRDefault="00A33443">
            <w:pPr>
              <w:pStyle w:val="TableParagraph"/>
              <w:spacing w:before="60"/>
              <w:ind w:left="166" w:right="80"/>
              <w:jc w:val="center"/>
              <w:rPr>
                <w:sz w:val="20"/>
              </w:rPr>
            </w:pPr>
            <w:r>
              <w:rPr>
                <w:sz w:val="20"/>
              </w:rPr>
              <w:t>0,738</w:t>
            </w:r>
          </w:p>
        </w:tc>
      </w:tr>
      <w:tr w:rsidR="00C94252">
        <w:trPr>
          <w:trHeight w:val="414"/>
        </w:trPr>
        <w:tc>
          <w:tcPr>
            <w:tcW w:w="509" w:type="dxa"/>
          </w:tcPr>
          <w:p w:rsidR="00C94252" w:rsidRDefault="00A33443">
            <w:pPr>
              <w:pStyle w:val="TableParagraph"/>
              <w:spacing w:before="86"/>
              <w:ind w:left="13"/>
              <w:jc w:val="center"/>
              <w:rPr>
                <w:sz w:val="20"/>
              </w:rPr>
            </w:pPr>
            <w:r>
              <w:rPr>
                <w:w w:val="99"/>
                <w:sz w:val="20"/>
              </w:rPr>
              <w:t>7</w:t>
            </w:r>
          </w:p>
        </w:tc>
        <w:tc>
          <w:tcPr>
            <w:tcW w:w="2322" w:type="dxa"/>
          </w:tcPr>
          <w:p w:rsidR="00C94252" w:rsidRDefault="00A33443">
            <w:pPr>
              <w:pStyle w:val="TableParagraph"/>
              <w:spacing w:before="91"/>
              <w:ind w:left="107"/>
              <w:rPr>
                <w:b/>
                <w:sz w:val="20"/>
              </w:rPr>
            </w:pPr>
            <w:r>
              <w:rPr>
                <w:b/>
                <w:sz w:val="20"/>
              </w:rPr>
              <w:t>**External influence</w:t>
            </w:r>
          </w:p>
        </w:tc>
        <w:tc>
          <w:tcPr>
            <w:tcW w:w="711" w:type="dxa"/>
          </w:tcPr>
          <w:p w:rsidR="00C94252" w:rsidRDefault="00A33443">
            <w:pPr>
              <w:pStyle w:val="TableParagraph"/>
              <w:spacing w:before="86"/>
              <w:ind w:right="95"/>
              <w:jc w:val="right"/>
              <w:rPr>
                <w:sz w:val="20"/>
              </w:rPr>
            </w:pPr>
            <w:r>
              <w:rPr>
                <w:sz w:val="20"/>
              </w:rPr>
              <w:t>58</w:t>
            </w:r>
          </w:p>
        </w:tc>
        <w:tc>
          <w:tcPr>
            <w:tcW w:w="725" w:type="dxa"/>
          </w:tcPr>
          <w:p w:rsidR="00C94252" w:rsidRDefault="00A33443">
            <w:pPr>
              <w:pStyle w:val="TableParagraph"/>
              <w:spacing w:before="86"/>
              <w:ind w:right="94"/>
              <w:jc w:val="right"/>
              <w:rPr>
                <w:sz w:val="20"/>
              </w:rPr>
            </w:pPr>
            <w:r>
              <w:rPr>
                <w:sz w:val="20"/>
              </w:rPr>
              <w:t>3,28</w:t>
            </w:r>
          </w:p>
        </w:tc>
        <w:tc>
          <w:tcPr>
            <w:tcW w:w="975" w:type="dxa"/>
          </w:tcPr>
          <w:p w:rsidR="00C94252" w:rsidRDefault="00A33443">
            <w:pPr>
              <w:pStyle w:val="TableParagraph"/>
              <w:spacing w:before="86"/>
              <w:ind w:right="95"/>
              <w:jc w:val="right"/>
              <w:rPr>
                <w:sz w:val="20"/>
              </w:rPr>
            </w:pPr>
            <w:r>
              <w:rPr>
                <w:sz w:val="20"/>
              </w:rPr>
              <w:t>2,36</w:t>
            </w:r>
          </w:p>
        </w:tc>
        <w:tc>
          <w:tcPr>
            <w:tcW w:w="994" w:type="dxa"/>
          </w:tcPr>
          <w:p w:rsidR="00C94252" w:rsidRDefault="00A33443">
            <w:pPr>
              <w:pStyle w:val="TableParagraph"/>
              <w:spacing w:before="86"/>
              <w:ind w:right="97"/>
              <w:jc w:val="right"/>
              <w:rPr>
                <w:sz w:val="20"/>
              </w:rPr>
            </w:pPr>
            <w:r>
              <w:rPr>
                <w:sz w:val="20"/>
              </w:rPr>
              <w:t>3,44</w:t>
            </w:r>
          </w:p>
        </w:tc>
        <w:tc>
          <w:tcPr>
            <w:tcW w:w="1133" w:type="dxa"/>
          </w:tcPr>
          <w:p w:rsidR="00C94252" w:rsidRDefault="00A33443">
            <w:pPr>
              <w:pStyle w:val="TableParagraph"/>
              <w:spacing w:before="86"/>
              <w:ind w:right="98"/>
              <w:jc w:val="right"/>
              <w:rPr>
                <w:sz w:val="20"/>
              </w:rPr>
            </w:pPr>
            <w:r>
              <w:rPr>
                <w:sz w:val="20"/>
              </w:rPr>
              <w:t>3,76</w:t>
            </w:r>
          </w:p>
        </w:tc>
        <w:tc>
          <w:tcPr>
            <w:tcW w:w="994" w:type="dxa"/>
          </w:tcPr>
          <w:p w:rsidR="00C94252" w:rsidRDefault="00A33443">
            <w:pPr>
              <w:pStyle w:val="TableParagraph"/>
              <w:spacing w:before="86"/>
              <w:ind w:right="95"/>
              <w:jc w:val="right"/>
              <w:rPr>
                <w:sz w:val="20"/>
              </w:rPr>
            </w:pPr>
            <w:r>
              <w:rPr>
                <w:sz w:val="20"/>
              </w:rPr>
              <w:t>2,88</w:t>
            </w:r>
          </w:p>
        </w:tc>
        <w:tc>
          <w:tcPr>
            <w:tcW w:w="749" w:type="dxa"/>
          </w:tcPr>
          <w:p w:rsidR="00C94252" w:rsidRDefault="00A33443">
            <w:pPr>
              <w:pStyle w:val="TableParagraph"/>
              <w:spacing w:before="91"/>
              <w:ind w:left="166" w:right="80"/>
              <w:jc w:val="center"/>
              <w:rPr>
                <w:b/>
                <w:sz w:val="20"/>
              </w:rPr>
            </w:pPr>
            <w:r>
              <w:rPr>
                <w:b/>
                <w:sz w:val="20"/>
              </w:rPr>
              <w:t>0,023</w:t>
            </w:r>
          </w:p>
        </w:tc>
      </w:tr>
      <w:tr w:rsidR="00C94252">
        <w:trPr>
          <w:trHeight w:val="501"/>
        </w:trPr>
        <w:tc>
          <w:tcPr>
            <w:tcW w:w="509" w:type="dxa"/>
          </w:tcPr>
          <w:p w:rsidR="00C94252" w:rsidRDefault="00A33443">
            <w:pPr>
              <w:pStyle w:val="TableParagraph"/>
              <w:spacing w:before="130"/>
              <w:ind w:left="13"/>
              <w:jc w:val="center"/>
              <w:rPr>
                <w:sz w:val="20"/>
              </w:rPr>
            </w:pPr>
            <w:r>
              <w:rPr>
                <w:w w:val="99"/>
                <w:sz w:val="20"/>
              </w:rPr>
              <w:t>8</w:t>
            </w:r>
          </w:p>
        </w:tc>
        <w:tc>
          <w:tcPr>
            <w:tcW w:w="2322" w:type="dxa"/>
          </w:tcPr>
          <w:p w:rsidR="00C94252" w:rsidRDefault="00A33443">
            <w:pPr>
              <w:pStyle w:val="TableParagraph"/>
              <w:spacing w:before="15"/>
              <w:ind w:left="107" w:right="452"/>
              <w:rPr>
                <w:sz w:val="20"/>
              </w:rPr>
            </w:pPr>
            <w:r>
              <w:rPr>
                <w:sz w:val="20"/>
              </w:rPr>
              <w:t>Lack of identification with the project</w:t>
            </w:r>
          </w:p>
        </w:tc>
        <w:tc>
          <w:tcPr>
            <w:tcW w:w="711" w:type="dxa"/>
          </w:tcPr>
          <w:p w:rsidR="00C94252" w:rsidRDefault="00A33443">
            <w:pPr>
              <w:pStyle w:val="TableParagraph"/>
              <w:spacing w:before="130"/>
              <w:ind w:right="95"/>
              <w:jc w:val="right"/>
              <w:rPr>
                <w:sz w:val="20"/>
              </w:rPr>
            </w:pPr>
            <w:r>
              <w:rPr>
                <w:sz w:val="20"/>
              </w:rPr>
              <w:t>67</w:t>
            </w:r>
          </w:p>
        </w:tc>
        <w:tc>
          <w:tcPr>
            <w:tcW w:w="725" w:type="dxa"/>
          </w:tcPr>
          <w:p w:rsidR="00C94252" w:rsidRDefault="00A33443">
            <w:pPr>
              <w:pStyle w:val="TableParagraph"/>
              <w:spacing w:before="130"/>
              <w:ind w:right="94"/>
              <w:jc w:val="right"/>
              <w:rPr>
                <w:sz w:val="20"/>
              </w:rPr>
            </w:pPr>
            <w:r>
              <w:rPr>
                <w:sz w:val="20"/>
              </w:rPr>
              <w:t>3,66</w:t>
            </w:r>
          </w:p>
        </w:tc>
        <w:tc>
          <w:tcPr>
            <w:tcW w:w="975" w:type="dxa"/>
          </w:tcPr>
          <w:p w:rsidR="00C94252" w:rsidRDefault="00A33443">
            <w:pPr>
              <w:pStyle w:val="TableParagraph"/>
              <w:spacing w:before="130"/>
              <w:ind w:right="95"/>
              <w:jc w:val="right"/>
              <w:rPr>
                <w:sz w:val="20"/>
              </w:rPr>
            </w:pPr>
            <w:r>
              <w:rPr>
                <w:sz w:val="20"/>
              </w:rPr>
              <w:t>3,36</w:t>
            </w:r>
          </w:p>
        </w:tc>
        <w:tc>
          <w:tcPr>
            <w:tcW w:w="994" w:type="dxa"/>
          </w:tcPr>
          <w:p w:rsidR="00C94252" w:rsidRDefault="00A33443">
            <w:pPr>
              <w:pStyle w:val="TableParagraph"/>
              <w:spacing w:before="130"/>
              <w:ind w:right="97"/>
              <w:jc w:val="right"/>
              <w:rPr>
                <w:sz w:val="20"/>
              </w:rPr>
            </w:pPr>
            <w:r>
              <w:rPr>
                <w:sz w:val="20"/>
              </w:rPr>
              <w:t>4,00</w:t>
            </w:r>
          </w:p>
        </w:tc>
        <w:tc>
          <w:tcPr>
            <w:tcW w:w="1133" w:type="dxa"/>
          </w:tcPr>
          <w:p w:rsidR="00C94252" w:rsidRDefault="00A33443">
            <w:pPr>
              <w:pStyle w:val="TableParagraph"/>
              <w:spacing w:before="130"/>
              <w:ind w:right="98"/>
              <w:jc w:val="right"/>
              <w:rPr>
                <w:sz w:val="20"/>
              </w:rPr>
            </w:pPr>
            <w:r>
              <w:rPr>
                <w:sz w:val="20"/>
              </w:rPr>
              <w:t>3,63</w:t>
            </w:r>
          </w:p>
        </w:tc>
        <w:tc>
          <w:tcPr>
            <w:tcW w:w="994" w:type="dxa"/>
          </w:tcPr>
          <w:p w:rsidR="00C94252" w:rsidRDefault="00A33443">
            <w:pPr>
              <w:pStyle w:val="TableParagraph"/>
              <w:spacing w:before="130"/>
              <w:ind w:right="95"/>
              <w:jc w:val="right"/>
              <w:rPr>
                <w:sz w:val="20"/>
              </w:rPr>
            </w:pPr>
            <w:r>
              <w:rPr>
                <w:sz w:val="20"/>
              </w:rPr>
              <w:t>3,33</w:t>
            </w:r>
          </w:p>
        </w:tc>
        <w:tc>
          <w:tcPr>
            <w:tcW w:w="749" w:type="dxa"/>
          </w:tcPr>
          <w:p w:rsidR="00C94252" w:rsidRDefault="00A33443">
            <w:pPr>
              <w:pStyle w:val="TableParagraph"/>
              <w:spacing w:before="130"/>
              <w:ind w:left="166" w:right="80"/>
              <w:jc w:val="center"/>
              <w:rPr>
                <w:sz w:val="20"/>
              </w:rPr>
            </w:pPr>
            <w:r>
              <w:rPr>
                <w:sz w:val="20"/>
              </w:rPr>
              <w:t>0,375</w:t>
            </w:r>
          </w:p>
        </w:tc>
      </w:tr>
      <w:tr w:rsidR="00C94252">
        <w:trPr>
          <w:trHeight w:val="364"/>
        </w:trPr>
        <w:tc>
          <w:tcPr>
            <w:tcW w:w="509" w:type="dxa"/>
          </w:tcPr>
          <w:p w:rsidR="00C94252" w:rsidRDefault="00A33443">
            <w:pPr>
              <w:pStyle w:val="TableParagraph"/>
              <w:spacing w:before="62"/>
              <w:ind w:left="13"/>
              <w:jc w:val="center"/>
              <w:rPr>
                <w:sz w:val="20"/>
              </w:rPr>
            </w:pPr>
            <w:r>
              <w:rPr>
                <w:w w:val="99"/>
                <w:sz w:val="20"/>
              </w:rPr>
              <w:t>9</w:t>
            </w:r>
          </w:p>
        </w:tc>
        <w:tc>
          <w:tcPr>
            <w:tcW w:w="2322" w:type="dxa"/>
          </w:tcPr>
          <w:p w:rsidR="00C94252" w:rsidRDefault="00A33443">
            <w:pPr>
              <w:pStyle w:val="TableParagraph"/>
              <w:spacing w:before="62"/>
              <w:ind w:left="107"/>
              <w:rPr>
                <w:sz w:val="20"/>
              </w:rPr>
            </w:pPr>
            <w:r>
              <w:rPr>
                <w:sz w:val="20"/>
              </w:rPr>
              <w:t>Lack of trust</w:t>
            </w:r>
          </w:p>
        </w:tc>
        <w:tc>
          <w:tcPr>
            <w:tcW w:w="711" w:type="dxa"/>
          </w:tcPr>
          <w:p w:rsidR="00C94252" w:rsidRDefault="00A33443">
            <w:pPr>
              <w:pStyle w:val="TableParagraph"/>
              <w:spacing w:before="62"/>
              <w:ind w:right="95"/>
              <w:jc w:val="right"/>
              <w:rPr>
                <w:sz w:val="20"/>
              </w:rPr>
            </w:pPr>
            <w:r>
              <w:rPr>
                <w:sz w:val="20"/>
              </w:rPr>
              <w:t>65</w:t>
            </w:r>
          </w:p>
        </w:tc>
        <w:tc>
          <w:tcPr>
            <w:tcW w:w="725" w:type="dxa"/>
          </w:tcPr>
          <w:p w:rsidR="00C94252" w:rsidRDefault="00A33443">
            <w:pPr>
              <w:pStyle w:val="TableParagraph"/>
              <w:spacing w:before="62"/>
              <w:ind w:right="94"/>
              <w:jc w:val="right"/>
              <w:rPr>
                <w:sz w:val="20"/>
              </w:rPr>
            </w:pPr>
            <w:r>
              <w:rPr>
                <w:sz w:val="20"/>
              </w:rPr>
              <w:t>3,92</w:t>
            </w:r>
          </w:p>
        </w:tc>
        <w:tc>
          <w:tcPr>
            <w:tcW w:w="975" w:type="dxa"/>
          </w:tcPr>
          <w:p w:rsidR="00C94252" w:rsidRDefault="00A33443">
            <w:pPr>
              <w:pStyle w:val="TableParagraph"/>
              <w:spacing w:before="62"/>
              <w:ind w:right="95"/>
              <w:jc w:val="right"/>
              <w:rPr>
                <w:sz w:val="20"/>
              </w:rPr>
            </w:pPr>
            <w:r>
              <w:rPr>
                <w:sz w:val="20"/>
              </w:rPr>
              <w:t>3,36</w:t>
            </w:r>
          </w:p>
        </w:tc>
        <w:tc>
          <w:tcPr>
            <w:tcW w:w="994" w:type="dxa"/>
          </w:tcPr>
          <w:p w:rsidR="00C94252" w:rsidRDefault="00A33443">
            <w:pPr>
              <w:pStyle w:val="TableParagraph"/>
              <w:spacing w:before="62"/>
              <w:ind w:right="97"/>
              <w:jc w:val="right"/>
              <w:rPr>
                <w:sz w:val="20"/>
              </w:rPr>
            </w:pPr>
            <w:r>
              <w:rPr>
                <w:sz w:val="20"/>
              </w:rPr>
              <w:t>4,11</w:t>
            </w:r>
          </w:p>
        </w:tc>
        <w:tc>
          <w:tcPr>
            <w:tcW w:w="1133" w:type="dxa"/>
          </w:tcPr>
          <w:p w:rsidR="00C94252" w:rsidRDefault="00A33443">
            <w:pPr>
              <w:pStyle w:val="TableParagraph"/>
              <w:spacing w:before="62"/>
              <w:ind w:right="98"/>
              <w:jc w:val="right"/>
              <w:rPr>
                <w:sz w:val="20"/>
              </w:rPr>
            </w:pPr>
            <w:r>
              <w:rPr>
                <w:sz w:val="20"/>
              </w:rPr>
              <w:t>4,04</w:t>
            </w:r>
          </w:p>
        </w:tc>
        <w:tc>
          <w:tcPr>
            <w:tcW w:w="994" w:type="dxa"/>
          </w:tcPr>
          <w:p w:rsidR="00C94252" w:rsidRDefault="00A33443">
            <w:pPr>
              <w:pStyle w:val="TableParagraph"/>
              <w:spacing w:before="62"/>
              <w:ind w:right="95"/>
              <w:jc w:val="right"/>
              <w:rPr>
                <w:sz w:val="20"/>
              </w:rPr>
            </w:pPr>
            <w:r>
              <w:rPr>
                <w:sz w:val="20"/>
              </w:rPr>
              <w:t>3,88</w:t>
            </w:r>
          </w:p>
        </w:tc>
        <w:tc>
          <w:tcPr>
            <w:tcW w:w="749" w:type="dxa"/>
          </w:tcPr>
          <w:p w:rsidR="00C94252" w:rsidRDefault="00A33443">
            <w:pPr>
              <w:pStyle w:val="TableParagraph"/>
              <w:spacing w:before="62"/>
              <w:ind w:left="166" w:right="80"/>
              <w:jc w:val="center"/>
              <w:rPr>
                <w:sz w:val="20"/>
              </w:rPr>
            </w:pPr>
            <w:r>
              <w:rPr>
                <w:sz w:val="20"/>
              </w:rPr>
              <w:t>0,533</w:t>
            </w:r>
          </w:p>
        </w:tc>
      </w:tr>
    </w:tbl>
    <w:p w:rsidR="00C94252" w:rsidRDefault="00C94252">
      <w:pPr>
        <w:pStyle w:val="Brdtekst"/>
        <w:spacing w:before="5"/>
        <w:rPr>
          <w:sz w:val="23"/>
        </w:rPr>
      </w:pPr>
    </w:p>
    <w:p w:rsidR="00C94252" w:rsidRDefault="00A33443">
      <w:pPr>
        <w:pStyle w:val="Brdtekst"/>
        <w:spacing w:before="1"/>
        <w:ind w:left="116"/>
      </w:pPr>
      <w:r>
        <w:rPr>
          <w:b/>
        </w:rPr>
        <w:t>Table B.2</w:t>
      </w:r>
      <w:r>
        <w:t>. Strategic planning forms: summary and regional differences among large regions.</w:t>
      </w:r>
    </w:p>
    <w:p w:rsidR="00C94252" w:rsidRDefault="00A33443">
      <w:pPr>
        <w:pStyle w:val="Brdtekst"/>
        <w:ind w:left="824"/>
      </w:pPr>
      <w:r>
        <w:t>Significance levels: *p&lt;0.1; **p&lt;0.05.</w:t>
      </w:r>
    </w:p>
    <w:p w:rsidR="00C94252" w:rsidRDefault="00C94252">
      <w:pPr>
        <w:sectPr w:rsidR="00C94252">
          <w:pgSz w:w="11900" w:h="16850"/>
          <w:pgMar w:top="1600" w:right="1240" w:bottom="940" w:left="1300" w:header="0" w:footer="751"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52"/>
        <w:gridCol w:w="675"/>
        <w:gridCol w:w="745"/>
        <w:gridCol w:w="995"/>
        <w:gridCol w:w="947"/>
        <w:gridCol w:w="1038"/>
        <w:gridCol w:w="854"/>
        <w:gridCol w:w="681"/>
      </w:tblGrid>
      <w:tr w:rsidR="00C94252">
        <w:trPr>
          <w:trHeight w:val="722"/>
        </w:trPr>
        <w:tc>
          <w:tcPr>
            <w:tcW w:w="562" w:type="dxa"/>
            <w:vMerge w:val="restart"/>
          </w:tcPr>
          <w:p w:rsidR="00C94252" w:rsidRDefault="00C94252">
            <w:pPr>
              <w:pStyle w:val="TableParagraph"/>
            </w:pPr>
          </w:p>
          <w:p w:rsidR="00C94252" w:rsidRDefault="00C94252">
            <w:pPr>
              <w:pStyle w:val="TableParagraph"/>
              <w:spacing w:before="10"/>
              <w:rPr>
                <w:sz w:val="32"/>
              </w:rPr>
            </w:pPr>
          </w:p>
          <w:p w:rsidR="00C94252" w:rsidRDefault="00A33443">
            <w:pPr>
              <w:pStyle w:val="TableParagraph"/>
              <w:spacing w:before="1"/>
              <w:ind w:left="141"/>
              <w:rPr>
                <w:i/>
                <w:sz w:val="20"/>
              </w:rPr>
            </w:pPr>
            <w:r>
              <w:rPr>
                <w:i/>
                <w:sz w:val="20"/>
              </w:rPr>
              <w:t>No.</w:t>
            </w:r>
          </w:p>
        </w:tc>
        <w:tc>
          <w:tcPr>
            <w:tcW w:w="2552" w:type="dxa"/>
            <w:vMerge w:val="restart"/>
          </w:tcPr>
          <w:p w:rsidR="00C94252" w:rsidRDefault="00C94252">
            <w:pPr>
              <w:pStyle w:val="TableParagraph"/>
            </w:pPr>
          </w:p>
          <w:p w:rsidR="00C94252" w:rsidRDefault="00A33443">
            <w:pPr>
              <w:pStyle w:val="TableParagraph"/>
              <w:spacing w:before="148"/>
              <w:ind w:left="320"/>
              <w:rPr>
                <w:i/>
                <w:sz w:val="20"/>
              </w:rPr>
            </w:pPr>
            <w:r>
              <w:rPr>
                <w:i/>
                <w:sz w:val="20"/>
              </w:rPr>
              <w:t>Strategic planning form</w:t>
            </w:r>
          </w:p>
        </w:tc>
        <w:tc>
          <w:tcPr>
            <w:tcW w:w="1420" w:type="dxa"/>
            <w:gridSpan w:val="2"/>
          </w:tcPr>
          <w:p w:rsidR="00C94252" w:rsidRDefault="00A33443">
            <w:pPr>
              <w:pStyle w:val="TableParagraph"/>
              <w:spacing w:before="22"/>
              <w:ind w:left="217" w:firstLine="112"/>
              <w:rPr>
                <w:i/>
                <w:sz w:val="20"/>
              </w:rPr>
            </w:pPr>
            <w:r>
              <w:rPr>
                <w:i/>
                <w:sz w:val="20"/>
              </w:rPr>
              <w:t>Summary</w:t>
            </w:r>
          </w:p>
          <w:p w:rsidR="00C94252" w:rsidRDefault="00A33443">
            <w:pPr>
              <w:pStyle w:val="TableParagraph"/>
              <w:spacing w:line="230" w:lineRule="atLeast"/>
              <w:ind w:left="142" w:right="133"/>
              <w:jc w:val="center"/>
              <w:rPr>
                <w:i/>
                <w:sz w:val="20"/>
              </w:rPr>
            </w:pPr>
            <w:r>
              <w:rPr>
                <w:i/>
                <w:sz w:val="20"/>
              </w:rPr>
              <w:t xml:space="preserve">statistics </w:t>
            </w:r>
            <w:r>
              <w:rPr>
                <w:i/>
                <w:spacing w:val="-7"/>
                <w:sz w:val="20"/>
              </w:rPr>
              <w:t xml:space="preserve">for </w:t>
            </w:r>
            <w:r>
              <w:rPr>
                <w:i/>
                <w:sz w:val="20"/>
              </w:rPr>
              <w:t>each form</w:t>
            </w:r>
          </w:p>
        </w:tc>
        <w:tc>
          <w:tcPr>
            <w:tcW w:w="4515" w:type="dxa"/>
            <w:gridSpan w:val="5"/>
          </w:tcPr>
          <w:p w:rsidR="00C94252" w:rsidRDefault="00C94252">
            <w:pPr>
              <w:pStyle w:val="TableParagraph"/>
              <w:spacing w:before="5"/>
              <w:rPr>
                <w:sz w:val="20"/>
              </w:rPr>
            </w:pPr>
          </w:p>
          <w:p w:rsidR="00C94252" w:rsidRDefault="00A33443">
            <w:pPr>
              <w:pStyle w:val="TableParagraph"/>
              <w:spacing w:before="1"/>
              <w:ind w:left="830"/>
              <w:rPr>
                <w:i/>
                <w:sz w:val="20"/>
              </w:rPr>
            </w:pPr>
            <w:r>
              <w:rPr>
                <w:i/>
                <w:sz w:val="20"/>
              </w:rPr>
              <w:t>Regional differences: large regions</w:t>
            </w:r>
          </w:p>
        </w:tc>
      </w:tr>
      <w:tr w:rsidR="00C94252">
        <w:trPr>
          <w:trHeight w:val="777"/>
        </w:trPr>
        <w:tc>
          <w:tcPr>
            <w:tcW w:w="562" w:type="dxa"/>
            <w:vMerge/>
            <w:tcBorders>
              <w:top w:val="nil"/>
            </w:tcBorders>
          </w:tcPr>
          <w:p w:rsidR="00C94252" w:rsidRDefault="00C94252">
            <w:pPr>
              <w:rPr>
                <w:sz w:val="2"/>
                <w:szCs w:val="2"/>
              </w:rPr>
            </w:pPr>
          </w:p>
        </w:tc>
        <w:tc>
          <w:tcPr>
            <w:tcW w:w="2552" w:type="dxa"/>
            <w:vMerge/>
            <w:tcBorders>
              <w:top w:val="nil"/>
            </w:tcBorders>
          </w:tcPr>
          <w:p w:rsidR="00C94252" w:rsidRDefault="00C94252">
            <w:pPr>
              <w:rPr>
                <w:sz w:val="2"/>
                <w:szCs w:val="2"/>
              </w:rPr>
            </w:pPr>
          </w:p>
        </w:tc>
        <w:tc>
          <w:tcPr>
            <w:tcW w:w="675" w:type="dxa"/>
          </w:tcPr>
          <w:p w:rsidR="00C94252" w:rsidRDefault="00A33443">
            <w:pPr>
              <w:pStyle w:val="TableParagraph"/>
              <w:spacing w:before="149"/>
              <w:ind w:left="8"/>
              <w:jc w:val="center"/>
              <w:rPr>
                <w:i/>
                <w:sz w:val="20"/>
              </w:rPr>
            </w:pPr>
            <w:r>
              <w:rPr>
                <w:i/>
                <w:w w:val="99"/>
                <w:sz w:val="20"/>
              </w:rPr>
              <w:t>N</w:t>
            </w:r>
          </w:p>
          <w:p w:rsidR="00C94252" w:rsidRDefault="00A33443">
            <w:pPr>
              <w:pStyle w:val="TableParagraph"/>
              <w:ind w:left="98" w:right="92"/>
              <w:jc w:val="center"/>
              <w:rPr>
                <w:i/>
                <w:sz w:val="20"/>
              </w:rPr>
            </w:pPr>
            <w:r>
              <w:rPr>
                <w:i/>
                <w:sz w:val="20"/>
              </w:rPr>
              <w:t>Valid</w:t>
            </w:r>
          </w:p>
        </w:tc>
        <w:tc>
          <w:tcPr>
            <w:tcW w:w="745" w:type="dxa"/>
          </w:tcPr>
          <w:p w:rsidR="00C94252" w:rsidRDefault="00C94252">
            <w:pPr>
              <w:pStyle w:val="TableParagraph"/>
              <w:spacing w:before="11"/>
            </w:pPr>
          </w:p>
          <w:p w:rsidR="00C94252" w:rsidRDefault="00A33443">
            <w:pPr>
              <w:pStyle w:val="TableParagraph"/>
              <w:ind w:right="135"/>
              <w:jc w:val="right"/>
              <w:rPr>
                <w:i/>
                <w:sz w:val="20"/>
              </w:rPr>
            </w:pPr>
            <w:r>
              <w:rPr>
                <w:i/>
                <w:w w:val="95"/>
                <w:sz w:val="20"/>
              </w:rPr>
              <w:t>Mean</w:t>
            </w:r>
          </w:p>
        </w:tc>
        <w:tc>
          <w:tcPr>
            <w:tcW w:w="995" w:type="dxa"/>
          </w:tcPr>
          <w:p w:rsidR="00C94252" w:rsidRDefault="00A33443">
            <w:pPr>
              <w:pStyle w:val="TableParagraph"/>
              <w:spacing w:before="149"/>
              <w:ind w:left="199" w:hanging="72"/>
              <w:rPr>
                <w:i/>
                <w:sz w:val="20"/>
              </w:rPr>
            </w:pPr>
            <w:r>
              <w:rPr>
                <w:i/>
                <w:w w:val="95"/>
                <w:sz w:val="20"/>
              </w:rPr>
              <w:t xml:space="preserve">Northern </w:t>
            </w:r>
            <w:r>
              <w:rPr>
                <w:i/>
                <w:sz w:val="20"/>
              </w:rPr>
              <w:t>Europe</w:t>
            </w:r>
          </w:p>
        </w:tc>
        <w:tc>
          <w:tcPr>
            <w:tcW w:w="947" w:type="dxa"/>
          </w:tcPr>
          <w:p w:rsidR="00C94252" w:rsidRDefault="00A33443">
            <w:pPr>
              <w:pStyle w:val="TableParagraph"/>
              <w:spacing w:before="149"/>
              <w:ind w:left="174" w:hanging="32"/>
              <w:rPr>
                <w:i/>
                <w:sz w:val="20"/>
              </w:rPr>
            </w:pPr>
            <w:r>
              <w:rPr>
                <w:i/>
                <w:w w:val="95"/>
                <w:sz w:val="20"/>
              </w:rPr>
              <w:t xml:space="preserve">Western </w:t>
            </w:r>
            <w:r>
              <w:rPr>
                <w:i/>
                <w:sz w:val="20"/>
              </w:rPr>
              <w:t>Europe</w:t>
            </w:r>
          </w:p>
        </w:tc>
        <w:tc>
          <w:tcPr>
            <w:tcW w:w="1038" w:type="dxa"/>
            <w:tcBorders>
              <w:bottom w:val="single" w:sz="6" w:space="0" w:color="000000"/>
            </w:tcBorders>
          </w:tcPr>
          <w:p w:rsidR="00C94252" w:rsidRDefault="00A33443">
            <w:pPr>
              <w:pStyle w:val="TableParagraph"/>
              <w:spacing w:before="34"/>
              <w:ind w:left="203" w:right="84" w:hanging="96"/>
              <w:rPr>
                <w:i/>
                <w:sz w:val="20"/>
              </w:rPr>
            </w:pPr>
            <w:r>
              <w:rPr>
                <w:i/>
                <w:sz w:val="20"/>
              </w:rPr>
              <w:t>Central &amp; Eastern Europe</w:t>
            </w:r>
          </w:p>
        </w:tc>
        <w:tc>
          <w:tcPr>
            <w:tcW w:w="854" w:type="dxa"/>
            <w:tcBorders>
              <w:bottom w:val="single" w:sz="6" w:space="0" w:color="000000"/>
            </w:tcBorders>
          </w:tcPr>
          <w:p w:rsidR="00C94252" w:rsidRDefault="00A33443">
            <w:pPr>
              <w:pStyle w:val="TableParagraph"/>
              <w:spacing w:before="34"/>
              <w:ind w:left="112" w:right="106"/>
              <w:jc w:val="center"/>
              <w:rPr>
                <w:i/>
                <w:sz w:val="20"/>
              </w:rPr>
            </w:pPr>
            <w:r>
              <w:rPr>
                <w:i/>
                <w:sz w:val="20"/>
              </w:rPr>
              <w:t>Souther n    Europe</w:t>
            </w:r>
          </w:p>
        </w:tc>
        <w:tc>
          <w:tcPr>
            <w:tcW w:w="681" w:type="dxa"/>
            <w:tcBorders>
              <w:bottom w:val="single" w:sz="6" w:space="0" w:color="000000"/>
            </w:tcBorders>
          </w:tcPr>
          <w:p w:rsidR="00C94252" w:rsidRDefault="00C94252">
            <w:pPr>
              <w:pStyle w:val="TableParagraph"/>
              <w:spacing w:before="11"/>
            </w:pPr>
          </w:p>
          <w:p w:rsidR="00C94252" w:rsidRDefault="00A33443">
            <w:pPr>
              <w:pStyle w:val="TableParagraph"/>
              <w:ind w:right="8"/>
              <w:jc w:val="center"/>
              <w:rPr>
                <w:i/>
                <w:sz w:val="20"/>
              </w:rPr>
            </w:pPr>
            <w:r>
              <w:rPr>
                <w:i/>
                <w:w w:val="99"/>
                <w:sz w:val="20"/>
              </w:rPr>
              <w:t>p</w:t>
            </w:r>
          </w:p>
        </w:tc>
      </w:tr>
      <w:tr w:rsidR="00C94252">
        <w:trPr>
          <w:trHeight w:val="342"/>
        </w:trPr>
        <w:tc>
          <w:tcPr>
            <w:tcW w:w="3114" w:type="dxa"/>
            <w:gridSpan w:val="2"/>
          </w:tcPr>
          <w:p w:rsidR="00C94252" w:rsidRDefault="00A33443">
            <w:pPr>
              <w:pStyle w:val="TableParagraph"/>
              <w:spacing w:before="103" w:line="219" w:lineRule="exact"/>
              <w:ind w:left="1017"/>
              <w:rPr>
                <w:sz w:val="20"/>
              </w:rPr>
            </w:pPr>
            <w:r>
              <w:rPr>
                <w:sz w:val="20"/>
              </w:rPr>
              <w:t>Overall mean</w:t>
            </w:r>
          </w:p>
        </w:tc>
        <w:tc>
          <w:tcPr>
            <w:tcW w:w="675" w:type="dxa"/>
          </w:tcPr>
          <w:p w:rsidR="00C94252" w:rsidRDefault="00A33443">
            <w:pPr>
              <w:pStyle w:val="TableParagraph"/>
              <w:spacing w:before="48"/>
              <w:ind w:right="98"/>
              <w:jc w:val="right"/>
              <w:rPr>
                <w:sz w:val="20"/>
              </w:rPr>
            </w:pPr>
            <w:r>
              <w:rPr>
                <w:w w:val="99"/>
                <w:sz w:val="20"/>
              </w:rPr>
              <w:t>-</w:t>
            </w:r>
          </w:p>
        </w:tc>
        <w:tc>
          <w:tcPr>
            <w:tcW w:w="745" w:type="dxa"/>
          </w:tcPr>
          <w:p w:rsidR="00C94252" w:rsidRDefault="00A33443">
            <w:pPr>
              <w:pStyle w:val="TableParagraph"/>
              <w:spacing w:before="48"/>
              <w:ind w:right="97"/>
              <w:jc w:val="right"/>
              <w:rPr>
                <w:sz w:val="20"/>
              </w:rPr>
            </w:pPr>
            <w:r>
              <w:rPr>
                <w:sz w:val="20"/>
              </w:rPr>
              <w:t>2,69</w:t>
            </w:r>
          </w:p>
        </w:tc>
        <w:tc>
          <w:tcPr>
            <w:tcW w:w="995" w:type="dxa"/>
          </w:tcPr>
          <w:p w:rsidR="00C94252" w:rsidRDefault="00A33443">
            <w:pPr>
              <w:pStyle w:val="TableParagraph"/>
              <w:spacing w:before="48"/>
              <w:ind w:right="98"/>
              <w:jc w:val="right"/>
              <w:rPr>
                <w:sz w:val="20"/>
              </w:rPr>
            </w:pPr>
            <w:r>
              <w:rPr>
                <w:sz w:val="20"/>
              </w:rPr>
              <w:t>2,63</w:t>
            </w:r>
          </w:p>
        </w:tc>
        <w:tc>
          <w:tcPr>
            <w:tcW w:w="947" w:type="dxa"/>
          </w:tcPr>
          <w:p w:rsidR="00C94252" w:rsidRDefault="00A33443">
            <w:pPr>
              <w:pStyle w:val="TableParagraph"/>
              <w:spacing w:before="48"/>
              <w:ind w:right="100"/>
              <w:jc w:val="right"/>
              <w:rPr>
                <w:sz w:val="20"/>
              </w:rPr>
            </w:pPr>
            <w:r>
              <w:rPr>
                <w:sz w:val="20"/>
              </w:rPr>
              <w:t>2,72</w:t>
            </w:r>
          </w:p>
        </w:tc>
        <w:tc>
          <w:tcPr>
            <w:tcW w:w="1038" w:type="dxa"/>
            <w:tcBorders>
              <w:top w:val="single" w:sz="6" w:space="0" w:color="000000"/>
            </w:tcBorders>
          </w:tcPr>
          <w:p w:rsidR="00C94252" w:rsidRDefault="00A33443">
            <w:pPr>
              <w:pStyle w:val="TableParagraph"/>
              <w:spacing w:before="48"/>
              <w:ind w:right="99"/>
              <w:jc w:val="right"/>
              <w:rPr>
                <w:sz w:val="20"/>
              </w:rPr>
            </w:pPr>
            <w:r>
              <w:rPr>
                <w:sz w:val="20"/>
              </w:rPr>
              <w:t>2,64</w:t>
            </w:r>
          </w:p>
        </w:tc>
        <w:tc>
          <w:tcPr>
            <w:tcW w:w="854" w:type="dxa"/>
            <w:tcBorders>
              <w:top w:val="single" w:sz="6" w:space="0" w:color="000000"/>
            </w:tcBorders>
          </w:tcPr>
          <w:p w:rsidR="00C94252" w:rsidRDefault="00A33443">
            <w:pPr>
              <w:pStyle w:val="TableParagraph"/>
              <w:spacing w:before="48"/>
              <w:ind w:right="100"/>
              <w:jc w:val="right"/>
              <w:rPr>
                <w:sz w:val="20"/>
              </w:rPr>
            </w:pPr>
            <w:r>
              <w:rPr>
                <w:sz w:val="20"/>
              </w:rPr>
              <w:t>2,85</w:t>
            </w:r>
          </w:p>
        </w:tc>
        <w:tc>
          <w:tcPr>
            <w:tcW w:w="681" w:type="dxa"/>
            <w:tcBorders>
              <w:top w:val="single" w:sz="6" w:space="0" w:color="000000"/>
            </w:tcBorders>
          </w:tcPr>
          <w:p w:rsidR="00C94252" w:rsidRDefault="00A33443">
            <w:pPr>
              <w:pStyle w:val="TableParagraph"/>
              <w:spacing w:before="48"/>
              <w:ind w:right="106"/>
              <w:jc w:val="right"/>
              <w:rPr>
                <w:i/>
                <w:sz w:val="20"/>
              </w:rPr>
            </w:pPr>
            <w:r>
              <w:rPr>
                <w:i/>
                <w:w w:val="99"/>
                <w:sz w:val="20"/>
              </w:rPr>
              <w:t>-</w:t>
            </w:r>
          </w:p>
        </w:tc>
      </w:tr>
      <w:tr w:rsidR="00C94252">
        <w:trPr>
          <w:trHeight w:val="318"/>
        </w:trPr>
        <w:tc>
          <w:tcPr>
            <w:tcW w:w="562" w:type="dxa"/>
          </w:tcPr>
          <w:p w:rsidR="00C94252" w:rsidRDefault="00A33443">
            <w:pPr>
              <w:pStyle w:val="TableParagraph"/>
              <w:spacing w:before="34"/>
              <w:ind w:left="12"/>
              <w:jc w:val="center"/>
              <w:rPr>
                <w:sz w:val="20"/>
              </w:rPr>
            </w:pPr>
            <w:r>
              <w:rPr>
                <w:w w:val="99"/>
                <w:sz w:val="20"/>
              </w:rPr>
              <w:t>1</w:t>
            </w:r>
          </w:p>
        </w:tc>
        <w:tc>
          <w:tcPr>
            <w:tcW w:w="2552" w:type="dxa"/>
          </w:tcPr>
          <w:p w:rsidR="00C94252" w:rsidRDefault="00A33443">
            <w:pPr>
              <w:pStyle w:val="TableParagraph"/>
              <w:spacing w:before="84" w:line="215" w:lineRule="exact"/>
              <w:ind w:left="109"/>
              <w:rPr>
                <w:b/>
                <w:sz w:val="20"/>
              </w:rPr>
            </w:pPr>
            <w:r>
              <w:rPr>
                <w:b/>
                <w:sz w:val="20"/>
              </w:rPr>
              <w:t>**Priority areas defined</w:t>
            </w:r>
          </w:p>
        </w:tc>
        <w:tc>
          <w:tcPr>
            <w:tcW w:w="675" w:type="dxa"/>
          </w:tcPr>
          <w:p w:rsidR="00C94252" w:rsidRDefault="00A33443">
            <w:pPr>
              <w:pStyle w:val="TableParagraph"/>
              <w:spacing w:before="34"/>
              <w:ind w:right="95"/>
              <w:jc w:val="right"/>
              <w:rPr>
                <w:sz w:val="20"/>
              </w:rPr>
            </w:pPr>
            <w:r>
              <w:rPr>
                <w:sz w:val="20"/>
              </w:rPr>
              <w:t>74</w:t>
            </w:r>
          </w:p>
        </w:tc>
        <w:tc>
          <w:tcPr>
            <w:tcW w:w="745" w:type="dxa"/>
          </w:tcPr>
          <w:p w:rsidR="00C94252" w:rsidRDefault="00A33443">
            <w:pPr>
              <w:pStyle w:val="TableParagraph"/>
              <w:spacing w:before="34"/>
              <w:ind w:right="97"/>
              <w:jc w:val="right"/>
              <w:rPr>
                <w:sz w:val="20"/>
              </w:rPr>
            </w:pPr>
            <w:r>
              <w:rPr>
                <w:sz w:val="20"/>
              </w:rPr>
              <w:t>3,13</w:t>
            </w:r>
          </w:p>
        </w:tc>
        <w:tc>
          <w:tcPr>
            <w:tcW w:w="995" w:type="dxa"/>
          </w:tcPr>
          <w:p w:rsidR="00C94252" w:rsidRDefault="00A33443">
            <w:pPr>
              <w:pStyle w:val="TableParagraph"/>
              <w:spacing w:before="34"/>
              <w:ind w:right="98"/>
              <w:jc w:val="right"/>
              <w:rPr>
                <w:sz w:val="20"/>
              </w:rPr>
            </w:pPr>
            <w:r>
              <w:rPr>
                <w:sz w:val="20"/>
              </w:rPr>
              <w:t>3,00</w:t>
            </w:r>
          </w:p>
        </w:tc>
        <w:tc>
          <w:tcPr>
            <w:tcW w:w="947" w:type="dxa"/>
          </w:tcPr>
          <w:p w:rsidR="00C94252" w:rsidRDefault="00A33443">
            <w:pPr>
              <w:pStyle w:val="TableParagraph"/>
              <w:spacing w:before="34"/>
              <w:ind w:right="100"/>
              <w:jc w:val="right"/>
              <w:rPr>
                <w:sz w:val="20"/>
              </w:rPr>
            </w:pPr>
            <w:r>
              <w:rPr>
                <w:sz w:val="20"/>
              </w:rPr>
              <w:t>2,76</w:t>
            </w:r>
          </w:p>
        </w:tc>
        <w:tc>
          <w:tcPr>
            <w:tcW w:w="1038" w:type="dxa"/>
          </w:tcPr>
          <w:p w:rsidR="00C94252" w:rsidRDefault="00A33443">
            <w:pPr>
              <w:pStyle w:val="TableParagraph"/>
              <w:spacing w:before="34"/>
              <w:ind w:right="99"/>
              <w:jc w:val="right"/>
              <w:rPr>
                <w:sz w:val="20"/>
              </w:rPr>
            </w:pPr>
            <w:r>
              <w:rPr>
                <w:sz w:val="20"/>
              </w:rPr>
              <w:t>3,21</w:t>
            </w:r>
          </w:p>
        </w:tc>
        <w:tc>
          <w:tcPr>
            <w:tcW w:w="854" w:type="dxa"/>
          </w:tcPr>
          <w:p w:rsidR="00C94252" w:rsidRDefault="00A33443">
            <w:pPr>
              <w:pStyle w:val="TableParagraph"/>
              <w:spacing w:before="34"/>
              <w:ind w:right="100"/>
              <w:jc w:val="right"/>
              <w:rPr>
                <w:sz w:val="20"/>
              </w:rPr>
            </w:pPr>
            <w:r>
              <w:rPr>
                <w:sz w:val="20"/>
              </w:rPr>
              <w:t>3,90</w:t>
            </w:r>
          </w:p>
        </w:tc>
        <w:tc>
          <w:tcPr>
            <w:tcW w:w="681" w:type="dxa"/>
          </w:tcPr>
          <w:p w:rsidR="00C94252" w:rsidRDefault="00A33443">
            <w:pPr>
              <w:pStyle w:val="TableParagraph"/>
              <w:spacing w:before="38"/>
              <w:ind w:right="104"/>
              <w:jc w:val="right"/>
              <w:rPr>
                <w:b/>
                <w:sz w:val="20"/>
              </w:rPr>
            </w:pPr>
            <w:r>
              <w:rPr>
                <w:b/>
                <w:sz w:val="20"/>
              </w:rPr>
              <w:t>0,015</w:t>
            </w:r>
          </w:p>
        </w:tc>
      </w:tr>
      <w:tr w:rsidR="00C94252">
        <w:trPr>
          <w:trHeight w:val="460"/>
        </w:trPr>
        <w:tc>
          <w:tcPr>
            <w:tcW w:w="562" w:type="dxa"/>
          </w:tcPr>
          <w:p w:rsidR="00C94252" w:rsidRDefault="00A33443">
            <w:pPr>
              <w:pStyle w:val="TableParagraph"/>
              <w:spacing w:before="106"/>
              <w:ind w:left="12"/>
              <w:jc w:val="center"/>
              <w:rPr>
                <w:sz w:val="20"/>
              </w:rPr>
            </w:pPr>
            <w:r>
              <w:rPr>
                <w:w w:val="99"/>
                <w:sz w:val="20"/>
              </w:rPr>
              <w:t>2</w:t>
            </w:r>
          </w:p>
        </w:tc>
        <w:tc>
          <w:tcPr>
            <w:tcW w:w="2552" w:type="dxa"/>
          </w:tcPr>
          <w:p w:rsidR="00C94252" w:rsidRDefault="00A33443">
            <w:pPr>
              <w:pStyle w:val="TableParagraph"/>
              <w:spacing w:line="225" w:lineRule="exact"/>
              <w:ind w:left="109"/>
              <w:rPr>
                <w:b/>
                <w:sz w:val="20"/>
              </w:rPr>
            </w:pPr>
            <w:r>
              <w:rPr>
                <w:b/>
                <w:sz w:val="20"/>
              </w:rPr>
              <w:t>*Areas for not using WE</w:t>
            </w:r>
          </w:p>
          <w:p w:rsidR="00C94252" w:rsidRDefault="00A33443">
            <w:pPr>
              <w:pStyle w:val="TableParagraph"/>
              <w:spacing w:line="215" w:lineRule="exact"/>
              <w:ind w:left="109"/>
              <w:rPr>
                <w:b/>
                <w:sz w:val="20"/>
              </w:rPr>
            </w:pPr>
            <w:r>
              <w:rPr>
                <w:b/>
                <w:sz w:val="20"/>
              </w:rPr>
              <w:t>defined</w:t>
            </w:r>
          </w:p>
        </w:tc>
        <w:tc>
          <w:tcPr>
            <w:tcW w:w="675" w:type="dxa"/>
          </w:tcPr>
          <w:p w:rsidR="00C94252" w:rsidRDefault="00A33443">
            <w:pPr>
              <w:pStyle w:val="TableParagraph"/>
              <w:spacing w:before="106"/>
              <w:ind w:right="95"/>
              <w:jc w:val="right"/>
              <w:rPr>
                <w:sz w:val="20"/>
              </w:rPr>
            </w:pPr>
            <w:r>
              <w:rPr>
                <w:sz w:val="20"/>
              </w:rPr>
              <w:t>71</w:t>
            </w:r>
          </w:p>
        </w:tc>
        <w:tc>
          <w:tcPr>
            <w:tcW w:w="745" w:type="dxa"/>
          </w:tcPr>
          <w:p w:rsidR="00C94252" w:rsidRDefault="00A33443">
            <w:pPr>
              <w:pStyle w:val="TableParagraph"/>
              <w:spacing w:before="106"/>
              <w:ind w:right="97"/>
              <w:jc w:val="right"/>
              <w:rPr>
                <w:sz w:val="20"/>
              </w:rPr>
            </w:pPr>
            <w:r>
              <w:rPr>
                <w:sz w:val="20"/>
              </w:rPr>
              <w:t>2,85</w:t>
            </w:r>
          </w:p>
        </w:tc>
        <w:tc>
          <w:tcPr>
            <w:tcW w:w="995" w:type="dxa"/>
          </w:tcPr>
          <w:p w:rsidR="00C94252" w:rsidRDefault="00A33443">
            <w:pPr>
              <w:pStyle w:val="TableParagraph"/>
              <w:spacing w:before="106"/>
              <w:ind w:right="98"/>
              <w:jc w:val="right"/>
              <w:rPr>
                <w:sz w:val="20"/>
              </w:rPr>
            </w:pPr>
            <w:r>
              <w:rPr>
                <w:sz w:val="20"/>
              </w:rPr>
              <w:t>2,40</w:t>
            </w:r>
          </w:p>
        </w:tc>
        <w:tc>
          <w:tcPr>
            <w:tcW w:w="947" w:type="dxa"/>
          </w:tcPr>
          <w:p w:rsidR="00C94252" w:rsidRDefault="00A33443">
            <w:pPr>
              <w:pStyle w:val="TableParagraph"/>
              <w:spacing w:before="106"/>
              <w:ind w:right="100"/>
              <w:jc w:val="right"/>
              <w:rPr>
                <w:sz w:val="20"/>
              </w:rPr>
            </w:pPr>
            <w:r>
              <w:rPr>
                <w:sz w:val="20"/>
              </w:rPr>
              <w:t>2,55</w:t>
            </w:r>
          </w:p>
        </w:tc>
        <w:tc>
          <w:tcPr>
            <w:tcW w:w="1038" w:type="dxa"/>
          </w:tcPr>
          <w:p w:rsidR="00C94252" w:rsidRDefault="00A33443">
            <w:pPr>
              <w:pStyle w:val="TableParagraph"/>
              <w:spacing w:before="106"/>
              <w:ind w:right="99"/>
              <w:jc w:val="right"/>
              <w:rPr>
                <w:sz w:val="20"/>
              </w:rPr>
            </w:pPr>
            <w:r>
              <w:rPr>
                <w:sz w:val="20"/>
              </w:rPr>
              <w:t>3,03</w:t>
            </w:r>
          </w:p>
        </w:tc>
        <w:tc>
          <w:tcPr>
            <w:tcW w:w="854" w:type="dxa"/>
          </w:tcPr>
          <w:p w:rsidR="00C94252" w:rsidRDefault="00A33443">
            <w:pPr>
              <w:pStyle w:val="TableParagraph"/>
              <w:spacing w:before="106"/>
              <w:ind w:right="100"/>
              <w:jc w:val="right"/>
              <w:rPr>
                <w:sz w:val="20"/>
              </w:rPr>
            </w:pPr>
            <w:r>
              <w:rPr>
                <w:sz w:val="20"/>
              </w:rPr>
              <w:t>3,50</w:t>
            </w:r>
          </w:p>
        </w:tc>
        <w:tc>
          <w:tcPr>
            <w:tcW w:w="681" w:type="dxa"/>
          </w:tcPr>
          <w:p w:rsidR="00C94252" w:rsidRDefault="00A33443">
            <w:pPr>
              <w:pStyle w:val="TableParagraph"/>
              <w:spacing w:before="110"/>
              <w:ind w:right="104"/>
              <w:jc w:val="right"/>
              <w:rPr>
                <w:b/>
                <w:sz w:val="20"/>
              </w:rPr>
            </w:pPr>
            <w:r>
              <w:rPr>
                <w:b/>
                <w:sz w:val="20"/>
              </w:rPr>
              <w:t>0,078</w:t>
            </w:r>
          </w:p>
        </w:tc>
      </w:tr>
      <w:tr w:rsidR="00C94252">
        <w:trPr>
          <w:trHeight w:val="690"/>
        </w:trPr>
        <w:tc>
          <w:tcPr>
            <w:tcW w:w="562" w:type="dxa"/>
          </w:tcPr>
          <w:p w:rsidR="00C94252" w:rsidRDefault="00C94252">
            <w:pPr>
              <w:pStyle w:val="TableParagraph"/>
              <w:spacing w:before="2"/>
              <w:rPr>
                <w:sz w:val="19"/>
              </w:rPr>
            </w:pPr>
          </w:p>
          <w:p w:rsidR="00C94252" w:rsidRDefault="00A33443">
            <w:pPr>
              <w:pStyle w:val="TableParagraph"/>
              <w:ind w:left="12"/>
              <w:jc w:val="center"/>
              <w:rPr>
                <w:sz w:val="20"/>
              </w:rPr>
            </w:pPr>
            <w:r>
              <w:rPr>
                <w:w w:val="99"/>
                <w:sz w:val="20"/>
              </w:rPr>
              <w:t>3</w:t>
            </w:r>
          </w:p>
        </w:tc>
        <w:tc>
          <w:tcPr>
            <w:tcW w:w="2552" w:type="dxa"/>
          </w:tcPr>
          <w:p w:rsidR="00C94252" w:rsidRDefault="00A33443">
            <w:pPr>
              <w:pStyle w:val="TableParagraph"/>
              <w:spacing w:line="221" w:lineRule="exact"/>
              <w:ind w:left="109"/>
              <w:rPr>
                <w:sz w:val="20"/>
              </w:rPr>
            </w:pPr>
            <w:r>
              <w:rPr>
                <w:sz w:val="20"/>
              </w:rPr>
              <w:t>Landscape criteria for</w:t>
            </w:r>
          </w:p>
          <w:p w:rsidR="00C94252" w:rsidRDefault="00A33443">
            <w:pPr>
              <w:pStyle w:val="TableParagraph"/>
              <w:spacing w:line="230" w:lineRule="atLeast"/>
              <w:ind w:left="109" w:right="591"/>
              <w:rPr>
                <w:sz w:val="20"/>
              </w:rPr>
            </w:pPr>
            <w:r>
              <w:rPr>
                <w:sz w:val="20"/>
              </w:rPr>
              <w:t>selecting priority areas defined</w:t>
            </w:r>
          </w:p>
        </w:tc>
        <w:tc>
          <w:tcPr>
            <w:tcW w:w="675" w:type="dxa"/>
          </w:tcPr>
          <w:p w:rsidR="00C94252" w:rsidRDefault="00C94252">
            <w:pPr>
              <w:pStyle w:val="TableParagraph"/>
              <w:spacing w:before="2"/>
              <w:rPr>
                <w:sz w:val="19"/>
              </w:rPr>
            </w:pPr>
          </w:p>
          <w:p w:rsidR="00C94252" w:rsidRDefault="00A33443">
            <w:pPr>
              <w:pStyle w:val="TableParagraph"/>
              <w:ind w:right="95"/>
              <w:jc w:val="right"/>
              <w:rPr>
                <w:sz w:val="20"/>
              </w:rPr>
            </w:pPr>
            <w:r>
              <w:rPr>
                <w:sz w:val="20"/>
              </w:rPr>
              <w:t>69</w:t>
            </w:r>
          </w:p>
        </w:tc>
        <w:tc>
          <w:tcPr>
            <w:tcW w:w="745" w:type="dxa"/>
          </w:tcPr>
          <w:p w:rsidR="00C94252" w:rsidRDefault="00C94252">
            <w:pPr>
              <w:pStyle w:val="TableParagraph"/>
              <w:spacing w:before="2"/>
              <w:rPr>
                <w:sz w:val="19"/>
              </w:rPr>
            </w:pPr>
          </w:p>
          <w:p w:rsidR="00C94252" w:rsidRDefault="00A33443">
            <w:pPr>
              <w:pStyle w:val="TableParagraph"/>
              <w:ind w:right="97"/>
              <w:jc w:val="right"/>
              <w:rPr>
                <w:sz w:val="20"/>
              </w:rPr>
            </w:pPr>
            <w:r>
              <w:rPr>
                <w:sz w:val="20"/>
              </w:rPr>
              <w:t>2,79</w:t>
            </w:r>
          </w:p>
        </w:tc>
        <w:tc>
          <w:tcPr>
            <w:tcW w:w="995" w:type="dxa"/>
          </w:tcPr>
          <w:p w:rsidR="00C94252" w:rsidRDefault="00C94252">
            <w:pPr>
              <w:pStyle w:val="TableParagraph"/>
              <w:spacing w:before="2"/>
              <w:rPr>
                <w:sz w:val="19"/>
              </w:rPr>
            </w:pPr>
          </w:p>
          <w:p w:rsidR="00C94252" w:rsidRDefault="00A33443">
            <w:pPr>
              <w:pStyle w:val="TableParagraph"/>
              <w:ind w:right="98"/>
              <w:jc w:val="right"/>
              <w:rPr>
                <w:sz w:val="20"/>
              </w:rPr>
            </w:pPr>
            <w:r>
              <w:rPr>
                <w:sz w:val="20"/>
              </w:rPr>
              <w:t>2,42</w:t>
            </w:r>
          </w:p>
        </w:tc>
        <w:tc>
          <w:tcPr>
            <w:tcW w:w="947" w:type="dxa"/>
          </w:tcPr>
          <w:p w:rsidR="00C94252" w:rsidRDefault="00C94252">
            <w:pPr>
              <w:pStyle w:val="TableParagraph"/>
              <w:spacing w:before="2"/>
              <w:rPr>
                <w:sz w:val="19"/>
              </w:rPr>
            </w:pPr>
          </w:p>
          <w:p w:rsidR="00C94252" w:rsidRDefault="00A33443">
            <w:pPr>
              <w:pStyle w:val="TableParagraph"/>
              <w:ind w:right="100"/>
              <w:jc w:val="right"/>
              <w:rPr>
                <w:sz w:val="20"/>
              </w:rPr>
            </w:pPr>
            <w:r>
              <w:rPr>
                <w:sz w:val="20"/>
              </w:rPr>
              <w:t>2,74</w:t>
            </w:r>
          </w:p>
        </w:tc>
        <w:tc>
          <w:tcPr>
            <w:tcW w:w="1038" w:type="dxa"/>
          </w:tcPr>
          <w:p w:rsidR="00C94252" w:rsidRDefault="00C94252">
            <w:pPr>
              <w:pStyle w:val="TableParagraph"/>
              <w:spacing w:before="2"/>
              <w:rPr>
                <w:sz w:val="19"/>
              </w:rPr>
            </w:pPr>
          </w:p>
          <w:p w:rsidR="00C94252" w:rsidRDefault="00A33443">
            <w:pPr>
              <w:pStyle w:val="TableParagraph"/>
              <w:ind w:right="99"/>
              <w:jc w:val="right"/>
              <w:rPr>
                <w:sz w:val="20"/>
              </w:rPr>
            </w:pPr>
            <w:r>
              <w:rPr>
                <w:sz w:val="20"/>
              </w:rPr>
              <w:t>2,90</w:t>
            </w:r>
          </w:p>
        </w:tc>
        <w:tc>
          <w:tcPr>
            <w:tcW w:w="854" w:type="dxa"/>
          </w:tcPr>
          <w:p w:rsidR="00C94252" w:rsidRDefault="00C94252">
            <w:pPr>
              <w:pStyle w:val="TableParagraph"/>
              <w:spacing w:before="2"/>
              <w:rPr>
                <w:sz w:val="19"/>
              </w:rPr>
            </w:pPr>
          </w:p>
          <w:p w:rsidR="00C94252" w:rsidRDefault="00A33443">
            <w:pPr>
              <w:pStyle w:val="TableParagraph"/>
              <w:ind w:right="100"/>
              <w:jc w:val="right"/>
              <w:rPr>
                <w:sz w:val="20"/>
              </w:rPr>
            </w:pPr>
            <w:r>
              <w:rPr>
                <w:sz w:val="20"/>
              </w:rPr>
              <w:t>3,11</w:t>
            </w:r>
          </w:p>
        </w:tc>
        <w:tc>
          <w:tcPr>
            <w:tcW w:w="681" w:type="dxa"/>
          </w:tcPr>
          <w:p w:rsidR="00C94252" w:rsidRDefault="00C94252">
            <w:pPr>
              <w:pStyle w:val="TableParagraph"/>
              <w:spacing w:before="2"/>
              <w:rPr>
                <w:sz w:val="19"/>
              </w:rPr>
            </w:pPr>
          </w:p>
          <w:p w:rsidR="00C94252" w:rsidRDefault="00A33443">
            <w:pPr>
              <w:pStyle w:val="TableParagraph"/>
              <w:ind w:right="104"/>
              <w:jc w:val="right"/>
              <w:rPr>
                <w:sz w:val="20"/>
              </w:rPr>
            </w:pPr>
            <w:r>
              <w:rPr>
                <w:sz w:val="20"/>
              </w:rPr>
              <w:t>0,473</w:t>
            </w:r>
          </w:p>
        </w:tc>
      </w:tr>
      <w:tr w:rsidR="00C94252">
        <w:trPr>
          <w:trHeight w:val="457"/>
        </w:trPr>
        <w:tc>
          <w:tcPr>
            <w:tcW w:w="562" w:type="dxa"/>
          </w:tcPr>
          <w:p w:rsidR="00C94252" w:rsidRDefault="00A33443">
            <w:pPr>
              <w:pStyle w:val="TableParagraph"/>
              <w:spacing w:before="106"/>
              <w:ind w:left="12"/>
              <w:jc w:val="center"/>
              <w:rPr>
                <w:sz w:val="20"/>
              </w:rPr>
            </w:pPr>
            <w:r>
              <w:rPr>
                <w:w w:val="99"/>
                <w:sz w:val="20"/>
              </w:rPr>
              <w:t>4</w:t>
            </w:r>
          </w:p>
        </w:tc>
        <w:tc>
          <w:tcPr>
            <w:tcW w:w="2552" w:type="dxa"/>
          </w:tcPr>
          <w:p w:rsidR="00C94252" w:rsidRDefault="00A33443">
            <w:pPr>
              <w:pStyle w:val="TableParagraph"/>
              <w:spacing w:line="220" w:lineRule="exact"/>
              <w:ind w:left="109"/>
              <w:rPr>
                <w:sz w:val="20"/>
              </w:rPr>
            </w:pPr>
            <w:r>
              <w:rPr>
                <w:sz w:val="20"/>
              </w:rPr>
              <w:t>Target amount of REs</w:t>
            </w:r>
          </w:p>
          <w:p w:rsidR="00C94252" w:rsidRDefault="00A33443">
            <w:pPr>
              <w:pStyle w:val="TableParagraph"/>
              <w:spacing w:line="218" w:lineRule="exact"/>
              <w:ind w:left="109"/>
              <w:rPr>
                <w:sz w:val="20"/>
              </w:rPr>
            </w:pPr>
            <w:r>
              <w:rPr>
                <w:sz w:val="20"/>
              </w:rPr>
              <w:t>defined</w:t>
            </w:r>
          </w:p>
        </w:tc>
        <w:tc>
          <w:tcPr>
            <w:tcW w:w="675" w:type="dxa"/>
          </w:tcPr>
          <w:p w:rsidR="00C94252" w:rsidRDefault="00A33443">
            <w:pPr>
              <w:pStyle w:val="TableParagraph"/>
              <w:spacing w:before="106"/>
              <w:ind w:right="95"/>
              <w:jc w:val="right"/>
              <w:rPr>
                <w:sz w:val="20"/>
              </w:rPr>
            </w:pPr>
            <w:r>
              <w:rPr>
                <w:sz w:val="20"/>
              </w:rPr>
              <w:t>67</w:t>
            </w:r>
          </w:p>
        </w:tc>
        <w:tc>
          <w:tcPr>
            <w:tcW w:w="745" w:type="dxa"/>
          </w:tcPr>
          <w:p w:rsidR="00C94252" w:rsidRDefault="00A33443">
            <w:pPr>
              <w:pStyle w:val="TableParagraph"/>
              <w:spacing w:before="106"/>
              <w:ind w:right="97"/>
              <w:jc w:val="right"/>
              <w:rPr>
                <w:sz w:val="20"/>
              </w:rPr>
            </w:pPr>
            <w:r>
              <w:rPr>
                <w:sz w:val="20"/>
              </w:rPr>
              <w:t>3,43</w:t>
            </w:r>
          </w:p>
        </w:tc>
        <w:tc>
          <w:tcPr>
            <w:tcW w:w="995" w:type="dxa"/>
          </w:tcPr>
          <w:p w:rsidR="00C94252" w:rsidRDefault="00A33443">
            <w:pPr>
              <w:pStyle w:val="TableParagraph"/>
              <w:spacing w:before="106"/>
              <w:ind w:right="98"/>
              <w:jc w:val="right"/>
              <w:rPr>
                <w:sz w:val="20"/>
              </w:rPr>
            </w:pPr>
            <w:r>
              <w:rPr>
                <w:sz w:val="20"/>
              </w:rPr>
              <w:t>3,15</w:t>
            </w:r>
          </w:p>
        </w:tc>
        <w:tc>
          <w:tcPr>
            <w:tcW w:w="947" w:type="dxa"/>
          </w:tcPr>
          <w:p w:rsidR="00C94252" w:rsidRDefault="00A33443">
            <w:pPr>
              <w:pStyle w:val="TableParagraph"/>
              <w:spacing w:before="106"/>
              <w:ind w:right="100"/>
              <w:jc w:val="right"/>
              <w:rPr>
                <w:sz w:val="20"/>
              </w:rPr>
            </w:pPr>
            <w:r>
              <w:rPr>
                <w:sz w:val="20"/>
              </w:rPr>
              <w:t>3,53</w:t>
            </w:r>
          </w:p>
        </w:tc>
        <w:tc>
          <w:tcPr>
            <w:tcW w:w="1038" w:type="dxa"/>
          </w:tcPr>
          <w:p w:rsidR="00C94252" w:rsidRDefault="00A33443">
            <w:pPr>
              <w:pStyle w:val="TableParagraph"/>
              <w:spacing w:before="106"/>
              <w:ind w:right="99"/>
              <w:jc w:val="right"/>
              <w:rPr>
                <w:sz w:val="20"/>
              </w:rPr>
            </w:pPr>
            <w:r>
              <w:rPr>
                <w:sz w:val="20"/>
              </w:rPr>
              <w:t>3,65</w:t>
            </w:r>
          </w:p>
        </w:tc>
        <w:tc>
          <w:tcPr>
            <w:tcW w:w="854" w:type="dxa"/>
          </w:tcPr>
          <w:p w:rsidR="00C94252" w:rsidRDefault="00A33443">
            <w:pPr>
              <w:pStyle w:val="TableParagraph"/>
              <w:spacing w:before="106"/>
              <w:ind w:right="100"/>
              <w:jc w:val="right"/>
              <w:rPr>
                <w:sz w:val="20"/>
              </w:rPr>
            </w:pPr>
            <w:r>
              <w:rPr>
                <w:sz w:val="20"/>
              </w:rPr>
              <w:t>3,22</w:t>
            </w:r>
          </w:p>
        </w:tc>
        <w:tc>
          <w:tcPr>
            <w:tcW w:w="681" w:type="dxa"/>
          </w:tcPr>
          <w:p w:rsidR="00C94252" w:rsidRDefault="00A33443">
            <w:pPr>
              <w:pStyle w:val="TableParagraph"/>
              <w:spacing w:before="106"/>
              <w:ind w:right="104"/>
              <w:jc w:val="right"/>
              <w:rPr>
                <w:sz w:val="20"/>
              </w:rPr>
            </w:pPr>
            <w:r>
              <w:rPr>
                <w:sz w:val="20"/>
              </w:rPr>
              <w:t>0,361</w:t>
            </w:r>
          </w:p>
        </w:tc>
      </w:tr>
      <w:tr w:rsidR="00C94252">
        <w:trPr>
          <w:trHeight w:val="302"/>
        </w:trPr>
        <w:tc>
          <w:tcPr>
            <w:tcW w:w="562" w:type="dxa"/>
          </w:tcPr>
          <w:p w:rsidR="00C94252" w:rsidRDefault="00A33443">
            <w:pPr>
              <w:pStyle w:val="TableParagraph"/>
              <w:spacing w:before="26"/>
              <w:ind w:left="12"/>
              <w:jc w:val="center"/>
              <w:rPr>
                <w:sz w:val="20"/>
              </w:rPr>
            </w:pPr>
            <w:r>
              <w:rPr>
                <w:w w:val="99"/>
                <w:sz w:val="20"/>
              </w:rPr>
              <w:t>5</w:t>
            </w:r>
          </w:p>
        </w:tc>
        <w:tc>
          <w:tcPr>
            <w:tcW w:w="2552" w:type="dxa"/>
          </w:tcPr>
          <w:p w:rsidR="00C94252" w:rsidRDefault="00A33443">
            <w:pPr>
              <w:pStyle w:val="TableParagraph"/>
              <w:spacing w:before="63" w:line="219" w:lineRule="exact"/>
              <w:ind w:left="109"/>
              <w:rPr>
                <w:sz w:val="20"/>
              </w:rPr>
            </w:pPr>
            <w:r>
              <w:rPr>
                <w:sz w:val="20"/>
              </w:rPr>
              <w:t>Demand quantified</w:t>
            </w:r>
          </w:p>
        </w:tc>
        <w:tc>
          <w:tcPr>
            <w:tcW w:w="675" w:type="dxa"/>
          </w:tcPr>
          <w:p w:rsidR="00C94252" w:rsidRDefault="00A33443">
            <w:pPr>
              <w:pStyle w:val="TableParagraph"/>
              <w:spacing w:before="26"/>
              <w:ind w:right="95"/>
              <w:jc w:val="right"/>
              <w:rPr>
                <w:sz w:val="20"/>
              </w:rPr>
            </w:pPr>
            <w:r>
              <w:rPr>
                <w:sz w:val="20"/>
              </w:rPr>
              <w:t>56</w:t>
            </w:r>
          </w:p>
        </w:tc>
        <w:tc>
          <w:tcPr>
            <w:tcW w:w="745" w:type="dxa"/>
          </w:tcPr>
          <w:p w:rsidR="00C94252" w:rsidRDefault="00A33443">
            <w:pPr>
              <w:pStyle w:val="TableParagraph"/>
              <w:spacing w:before="26"/>
              <w:ind w:right="97"/>
              <w:jc w:val="right"/>
              <w:rPr>
                <w:sz w:val="20"/>
              </w:rPr>
            </w:pPr>
            <w:r>
              <w:rPr>
                <w:sz w:val="20"/>
              </w:rPr>
              <w:t>2,61</w:t>
            </w:r>
          </w:p>
        </w:tc>
        <w:tc>
          <w:tcPr>
            <w:tcW w:w="995" w:type="dxa"/>
          </w:tcPr>
          <w:p w:rsidR="00C94252" w:rsidRDefault="00A33443">
            <w:pPr>
              <w:pStyle w:val="TableParagraph"/>
              <w:spacing w:before="26"/>
              <w:ind w:right="98"/>
              <w:jc w:val="right"/>
              <w:rPr>
                <w:sz w:val="20"/>
              </w:rPr>
            </w:pPr>
            <w:r>
              <w:rPr>
                <w:sz w:val="20"/>
              </w:rPr>
              <w:t>2,85</w:t>
            </w:r>
          </w:p>
        </w:tc>
        <w:tc>
          <w:tcPr>
            <w:tcW w:w="947" w:type="dxa"/>
          </w:tcPr>
          <w:p w:rsidR="00C94252" w:rsidRDefault="00A33443">
            <w:pPr>
              <w:pStyle w:val="TableParagraph"/>
              <w:spacing w:before="26"/>
              <w:ind w:right="100"/>
              <w:jc w:val="right"/>
              <w:rPr>
                <w:sz w:val="20"/>
              </w:rPr>
            </w:pPr>
            <w:r>
              <w:rPr>
                <w:sz w:val="20"/>
              </w:rPr>
              <w:t>2,36</w:t>
            </w:r>
          </w:p>
        </w:tc>
        <w:tc>
          <w:tcPr>
            <w:tcW w:w="1038" w:type="dxa"/>
          </w:tcPr>
          <w:p w:rsidR="00C94252" w:rsidRDefault="00A33443">
            <w:pPr>
              <w:pStyle w:val="TableParagraph"/>
              <w:spacing w:before="26"/>
              <w:ind w:right="99"/>
              <w:jc w:val="right"/>
              <w:rPr>
                <w:sz w:val="20"/>
              </w:rPr>
            </w:pPr>
            <w:r>
              <w:rPr>
                <w:sz w:val="20"/>
              </w:rPr>
              <w:t>2,39</w:t>
            </w:r>
          </w:p>
        </w:tc>
        <w:tc>
          <w:tcPr>
            <w:tcW w:w="854" w:type="dxa"/>
          </w:tcPr>
          <w:p w:rsidR="00C94252" w:rsidRDefault="00A33443">
            <w:pPr>
              <w:pStyle w:val="TableParagraph"/>
              <w:spacing w:before="26"/>
              <w:ind w:right="100"/>
              <w:jc w:val="right"/>
              <w:rPr>
                <w:sz w:val="20"/>
              </w:rPr>
            </w:pPr>
            <w:r>
              <w:rPr>
                <w:sz w:val="20"/>
              </w:rPr>
              <w:t>3,33</w:t>
            </w:r>
          </w:p>
        </w:tc>
        <w:tc>
          <w:tcPr>
            <w:tcW w:w="681" w:type="dxa"/>
          </w:tcPr>
          <w:p w:rsidR="00C94252" w:rsidRDefault="00A33443">
            <w:pPr>
              <w:pStyle w:val="TableParagraph"/>
              <w:spacing w:before="26"/>
              <w:ind w:right="104"/>
              <w:jc w:val="right"/>
              <w:rPr>
                <w:sz w:val="20"/>
              </w:rPr>
            </w:pPr>
            <w:r>
              <w:rPr>
                <w:sz w:val="20"/>
              </w:rPr>
              <w:t>0,366</w:t>
            </w:r>
          </w:p>
        </w:tc>
      </w:tr>
      <w:tr w:rsidR="00C94252">
        <w:trPr>
          <w:trHeight w:val="518"/>
        </w:trPr>
        <w:tc>
          <w:tcPr>
            <w:tcW w:w="562" w:type="dxa"/>
          </w:tcPr>
          <w:p w:rsidR="00C94252" w:rsidRDefault="00A33443">
            <w:pPr>
              <w:pStyle w:val="TableParagraph"/>
              <w:spacing w:before="134"/>
              <w:ind w:left="12"/>
              <w:jc w:val="center"/>
              <w:rPr>
                <w:sz w:val="20"/>
              </w:rPr>
            </w:pPr>
            <w:r>
              <w:rPr>
                <w:w w:val="99"/>
                <w:sz w:val="20"/>
              </w:rPr>
              <w:t>6</w:t>
            </w:r>
          </w:p>
        </w:tc>
        <w:tc>
          <w:tcPr>
            <w:tcW w:w="2552" w:type="dxa"/>
          </w:tcPr>
          <w:p w:rsidR="00C94252" w:rsidRDefault="00A33443">
            <w:pPr>
              <w:pStyle w:val="TableParagraph"/>
              <w:spacing w:before="59" w:line="228" w:lineRule="exact"/>
              <w:ind w:left="109" w:right="796"/>
              <w:rPr>
                <w:b/>
                <w:sz w:val="20"/>
              </w:rPr>
            </w:pPr>
            <w:r>
              <w:rPr>
                <w:b/>
                <w:sz w:val="20"/>
              </w:rPr>
              <w:t>**Communication materials provided</w:t>
            </w:r>
          </w:p>
        </w:tc>
        <w:tc>
          <w:tcPr>
            <w:tcW w:w="675" w:type="dxa"/>
          </w:tcPr>
          <w:p w:rsidR="00C94252" w:rsidRDefault="00A33443">
            <w:pPr>
              <w:pStyle w:val="TableParagraph"/>
              <w:spacing w:before="134"/>
              <w:ind w:right="95"/>
              <w:jc w:val="right"/>
              <w:rPr>
                <w:sz w:val="20"/>
              </w:rPr>
            </w:pPr>
            <w:r>
              <w:rPr>
                <w:sz w:val="20"/>
              </w:rPr>
              <w:t>66</w:t>
            </w:r>
          </w:p>
        </w:tc>
        <w:tc>
          <w:tcPr>
            <w:tcW w:w="745" w:type="dxa"/>
          </w:tcPr>
          <w:p w:rsidR="00C94252" w:rsidRDefault="00A33443">
            <w:pPr>
              <w:pStyle w:val="TableParagraph"/>
              <w:spacing w:before="134"/>
              <w:ind w:right="97"/>
              <w:jc w:val="right"/>
              <w:rPr>
                <w:sz w:val="20"/>
              </w:rPr>
            </w:pPr>
            <w:r>
              <w:rPr>
                <w:sz w:val="20"/>
              </w:rPr>
              <w:t>2,45</w:t>
            </w:r>
          </w:p>
        </w:tc>
        <w:tc>
          <w:tcPr>
            <w:tcW w:w="995" w:type="dxa"/>
          </w:tcPr>
          <w:p w:rsidR="00C94252" w:rsidRDefault="00A33443">
            <w:pPr>
              <w:pStyle w:val="TableParagraph"/>
              <w:spacing w:before="134"/>
              <w:ind w:right="98"/>
              <w:jc w:val="right"/>
              <w:rPr>
                <w:sz w:val="20"/>
              </w:rPr>
            </w:pPr>
            <w:r>
              <w:rPr>
                <w:sz w:val="20"/>
              </w:rPr>
              <w:t>2,83</w:t>
            </w:r>
          </w:p>
        </w:tc>
        <w:tc>
          <w:tcPr>
            <w:tcW w:w="947" w:type="dxa"/>
          </w:tcPr>
          <w:p w:rsidR="00C94252" w:rsidRDefault="00A33443">
            <w:pPr>
              <w:pStyle w:val="TableParagraph"/>
              <w:spacing w:before="134"/>
              <w:ind w:right="100"/>
              <w:jc w:val="right"/>
              <w:rPr>
                <w:sz w:val="20"/>
              </w:rPr>
            </w:pPr>
            <w:r>
              <w:rPr>
                <w:sz w:val="20"/>
              </w:rPr>
              <w:t>2,95</w:t>
            </w:r>
          </w:p>
        </w:tc>
        <w:tc>
          <w:tcPr>
            <w:tcW w:w="1038" w:type="dxa"/>
          </w:tcPr>
          <w:p w:rsidR="00C94252" w:rsidRDefault="00A33443">
            <w:pPr>
              <w:pStyle w:val="TableParagraph"/>
              <w:spacing w:before="134"/>
              <w:ind w:right="99"/>
              <w:jc w:val="right"/>
              <w:rPr>
                <w:sz w:val="20"/>
              </w:rPr>
            </w:pPr>
            <w:r>
              <w:rPr>
                <w:sz w:val="20"/>
              </w:rPr>
              <w:t>1,88</w:t>
            </w:r>
          </w:p>
        </w:tc>
        <w:tc>
          <w:tcPr>
            <w:tcW w:w="854" w:type="dxa"/>
          </w:tcPr>
          <w:p w:rsidR="00C94252" w:rsidRDefault="00A33443">
            <w:pPr>
              <w:pStyle w:val="TableParagraph"/>
              <w:spacing w:before="134"/>
              <w:ind w:right="100"/>
              <w:jc w:val="right"/>
              <w:rPr>
                <w:sz w:val="20"/>
              </w:rPr>
            </w:pPr>
            <w:r>
              <w:rPr>
                <w:sz w:val="20"/>
              </w:rPr>
              <w:t>2,22</w:t>
            </w:r>
          </w:p>
        </w:tc>
        <w:tc>
          <w:tcPr>
            <w:tcW w:w="681" w:type="dxa"/>
          </w:tcPr>
          <w:p w:rsidR="00C94252" w:rsidRDefault="00A33443">
            <w:pPr>
              <w:pStyle w:val="TableParagraph"/>
              <w:spacing w:before="139"/>
              <w:ind w:right="104"/>
              <w:jc w:val="right"/>
              <w:rPr>
                <w:b/>
                <w:sz w:val="20"/>
              </w:rPr>
            </w:pPr>
            <w:r>
              <w:rPr>
                <w:b/>
                <w:sz w:val="20"/>
              </w:rPr>
              <w:t>0,013</w:t>
            </w:r>
          </w:p>
        </w:tc>
      </w:tr>
      <w:tr w:rsidR="00C94252">
        <w:trPr>
          <w:trHeight w:val="301"/>
        </w:trPr>
        <w:tc>
          <w:tcPr>
            <w:tcW w:w="562" w:type="dxa"/>
          </w:tcPr>
          <w:p w:rsidR="00C94252" w:rsidRDefault="00A33443">
            <w:pPr>
              <w:pStyle w:val="TableParagraph"/>
              <w:spacing w:before="26"/>
              <w:ind w:left="12"/>
              <w:jc w:val="center"/>
              <w:rPr>
                <w:sz w:val="20"/>
              </w:rPr>
            </w:pPr>
            <w:r>
              <w:rPr>
                <w:w w:val="99"/>
                <w:sz w:val="20"/>
              </w:rPr>
              <w:t>7</w:t>
            </w:r>
          </w:p>
        </w:tc>
        <w:tc>
          <w:tcPr>
            <w:tcW w:w="2552" w:type="dxa"/>
          </w:tcPr>
          <w:p w:rsidR="00C94252" w:rsidRDefault="00A33443">
            <w:pPr>
              <w:pStyle w:val="TableParagraph"/>
              <w:spacing w:before="62" w:line="219" w:lineRule="exact"/>
              <w:ind w:left="109"/>
              <w:rPr>
                <w:sz w:val="20"/>
              </w:rPr>
            </w:pPr>
            <w:r>
              <w:rPr>
                <w:sz w:val="20"/>
              </w:rPr>
              <w:t>Incentives provided</w:t>
            </w:r>
          </w:p>
        </w:tc>
        <w:tc>
          <w:tcPr>
            <w:tcW w:w="675" w:type="dxa"/>
          </w:tcPr>
          <w:p w:rsidR="00C94252" w:rsidRDefault="00A33443">
            <w:pPr>
              <w:pStyle w:val="TableParagraph"/>
              <w:spacing w:before="26"/>
              <w:ind w:right="95"/>
              <w:jc w:val="right"/>
              <w:rPr>
                <w:sz w:val="20"/>
              </w:rPr>
            </w:pPr>
            <w:r>
              <w:rPr>
                <w:sz w:val="20"/>
              </w:rPr>
              <w:t>65</w:t>
            </w:r>
          </w:p>
        </w:tc>
        <w:tc>
          <w:tcPr>
            <w:tcW w:w="745" w:type="dxa"/>
            <w:tcBorders>
              <w:right w:val="single" w:sz="8" w:space="0" w:color="000000"/>
            </w:tcBorders>
          </w:tcPr>
          <w:p w:rsidR="00C94252" w:rsidRDefault="00A33443">
            <w:pPr>
              <w:pStyle w:val="TableParagraph"/>
              <w:spacing w:before="26"/>
              <w:ind w:right="92"/>
              <w:jc w:val="right"/>
              <w:rPr>
                <w:sz w:val="20"/>
              </w:rPr>
            </w:pPr>
            <w:r>
              <w:rPr>
                <w:sz w:val="20"/>
              </w:rPr>
              <w:t>2,83</w:t>
            </w:r>
          </w:p>
        </w:tc>
        <w:tc>
          <w:tcPr>
            <w:tcW w:w="995" w:type="dxa"/>
            <w:tcBorders>
              <w:left w:val="single" w:sz="8" w:space="0" w:color="000000"/>
            </w:tcBorders>
          </w:tcPr>
          <w:p w:rsidR="00C94252" w:rsidRDefault="00A33443">
            <w:pPr>
              <w:pStyle w:val="TableParagraph"/>
              <w:spacing w:before="26"/>
              <w:ind w:right="98"/>
              <w:jc w:val="right"/>
              <w:rPr>
                <w:sz w:val="20"/>
              </w:rPr>
            </w:pPr>
            <w:r>
              <w:rPr>
                <w:sz w:val="20"/>
              </w:rPr>
              <w:t>2,86</w:t>
            </w:r>
          </w:p>
        </w:tc>
        <w:tc>
          <w:tcPr>
            <w:tcW w:w="947" w:type="dxa"/>
          </w:tcPr>
          <w:p w:rsidR="00C94252" w:rsidRDefault="00A33443">
            <w:pPr>
              <w:pStyle w:val="TableParagraph"/>
              <w:spacing w:before="26"/>
              <w:ind w:right="100"/>
              <w:jc w:val="right"/>
              <w:rPr>
                <w:sz w:val="20"/>
              </w:rPr>
            </w:pPr>
            <w:r>
              <w:rPr>
                <w:sz w:val="20"/>
              </w:rPr>
              <w:t>2,95</w:t>
            </w:r>
          </w:p>
        </w:tc>
        <w:tc>
          <w:tcPr>
            <w:tcW w:w="1038" w:type="dxa"/>
          </w:tcPr>
          <w:p w:rsidR="00C94252" w:rsidRDefault="00A33443">
            <w:pPr>
              <w:pStyle w:val="TableParagraph"/>
              <w:spacing w:before="26"/>
              <w:ind w:right="99"/>
              <w:jc w:val="right"/>
              <w:rPr>
                <w:sz w:val="20"/>
              </w:rPr>
            </w:pPr>
            <w:r>
              <w:rPr>
                <w:sz w:val="20"/>
              </w:rPr>
              <w:t>2,83</w:t>
            </w:r>
          </w:p>
        </w:tc>
        <w:tc>
          <w:tcPr>
            <w:tcW w:w="854" w:type="dxa"/>
          </w:tcPr>
          <w:p w:rsidR="00C94252" w:rsidRDefault="00A33443">
            <w:pPr>
              <w:pStyle w:val="TableParagraph"/>
              <w:spacing w:before="26"/>
              <w:ind w:right="100"/>
              <w:jc w:val="right"/>
              <w:rPr>
                <w:sz w:val="20"/>
              </w:rPr>
            </w:pPr>
            <w:r>
              <w:rPr>
                <w:sz w:val="20"/>
              </w:rPr>
              <w:t>2,75</w:t>
            </w:r>
          </w:p>
        </w:tc>
        <w:tc>
          <w:tcPr>
            <w:tcW w:w="681" w:type="dxa"/>
          </w:tcPr>
          <w:p w:rsidR="00C94252" w:rsidRDefault="00A33443">
            <w:pPr>
              <w:pStyle w:val="TableParagraph"/>
              <w:spacing w:before="26"/>
              <w:ind w:right="104"/>
              <w:jc w:val="right"/>
              <w:rPr>
                <w:sz w:val="20"/>
              </w:rPr>
            </w:pPr>
            <w:r>
              <w:rPr>
                <w:sz w:val="20"/>
              </w:rPr>
              <w:t>0,985</w:t>
            </w:r>
          </w:p>
        </w:tc>
      </w:tr>
      <w:tr w:rsidR="00C94252">
        <w:trPr>
          <w:trHeight w:val="458"/>
        </w:trPr>
        <w:tc>
          <w:tcPr>
            <w:tcW w:w="562" w:type="dxa"/>
          </w:tcPr>
          <w:p w:rsidR="00C94252" w:rsidRDefault="00A33443">
            <w:pPr>
              <w:pStyle w:val="TableParagraph"/>
              <w:spacing w:before="106"/>
              <w:ind w:left="12"/>
              <w:jc w:val="center"/>
              <w:rPr>
                <w:sz w:val="20"/>
              </w:rPr>
            </w:pPr>
            <w:r>
              <w:rPr>
                <w:w w:val="99"/>
                <w:sz w:val="20"/>
              </w:rPr>
              <w:t>8</w:t>
            </w:r>
          </w:p>
        </w:tc>
        <w:tc>
          <w:tcPr>
            <w:tcW w:w="2552" w:type="dxa"/>
          </w:tcPr>
          <w:p w:rsidR="00C94252" w:rsidRDefault="00A33443">
            <w:pPr>
              <w:pStyle w:val="TableParagraph"/>
              <w:spacing w:line="220" w:lineRule="exact"/>
              <w:ind w:left="109"/>
              <w:rPr>
                <w:sz w:val="20"/>
              </w:rPr>
            </w:pPr>
            <w:r>
              <w:rPr>
                <w:sz w:val="20"/>
              </w:rPr>
              <w:t>Participation procedures</w:t>
            </w:r>
          </w:p>
          <w:p w:rsidR="00C94252" w:rsidRDefault="00A33443">
            <w:pPr>
              <w:pStyle w:val="TableParagraph"/>
              <w:spacing w:line="218" w:lineRule="exact"/>
              <w:ind w:left="109"/>
              <w:rPr>
                <w:sz w:val="20"/>
              </w:rPr>
            </w:pPr>
            <w:r>
              <w:rPr>
                <w:sz w:val="20"/>
              </w:rPr>
              <w:t>defined</w:t>
            </w:r>
          </w:p>
        </w:tc>
        <w:tc>
          <w:tcPr>
            <w:tcW w:w="675" w:type="dxa"/>
          </w:tcPr>
          <w:p w:rsidR="00C94252" w:rsidRDefault="00A33443">
            <w:pPr>
              <w:pStyle w:val="TableParagraph"/>
              <w:spacing w:before="106"/>
              <w:ind w:right="95"/>
              <w:jc w:val="right"/>
              <w:rPr>
                <w:sz w:val="20"/>
              </w:rPr>
            </w:pPr>
            <w:r>
              <w:rPr>
                <w:sz w:val="20"/>
              </w:rPr>
              <w:t>68</w:t>
            </w:r>
          </w:p>
        </w:tc>
        <w:tc>
          <w:tcPr>
            <w:tcW w:w="745" w:type="dxa"/>
            <w:tcBorders>
              <w:right w:val="single" w:sz="8" w:space="0" w:color="000000"/>
            </w:tcBorders>
          </w:tcPr>
          <w:p w:rsidR="00C94252" w:rsidRDefault="00A33443">
            <w:pPr>
              <w:pStyle w:val="TableParagraph"/>
              <w:spacing w:before="106"/>
              <w:ind w:right="92"/>
              <w:jc w:val="right"/>
              <w:rPr>
                <w:sz w:val="20"/>
              </w:rPr>
            </w:pPr>
            <w:r>
              <w:rPr>
                <w:sz w:val="20"/>
              </w:rPr>
              <w:t>2,90</w:t>
            </w:r>
          </w:p>
        </w:tc>
        <w:tc>
          <w:tcPr>
            <w:tcW w:w="995" w:type="dxa"/>
            <w:tcBorders>
              <w:left w:val="single" w:sz="8" w:space="0" w:color="000000"/>
            </w:tcBorders>
          </w:tcPr>
          <w:p w:rsidR="00C94252" w:rsidRDefault="00A33443">
            <w:pPr>
              <w:pStyle w:val="TableParagraph"/>
              <w:spacing w:before="106"/>
              <w:ind w:right="98"/>
              <w:jc w:val="right"/>
              <w:rPr>
                <w:sz w:val="20"/>
              </w:rPr>
            </w:pPr>
            <w:r>
              <w:rPr>
                <w:sz w:val="20"/>
              </w:rPr>
              <w:t>3,29</w:t>
            </w:r>
          </w:p>
        </w:tc>
        <w:tc>
          <w:tcPr>
            <w:tcW w:w="947" w:type="dxa"/>
          </w:tcPr>
          <w:p w:rsidR="00C94252" w:rsidRDefault="00A33443">
            <w:pPr>
              <w:pStyle w:val="TableParagraph"/>
              <w:spacing w:before="106"/>
              <w:ind w:right="100"/>
              <w:jc w:val="right"/>
              <w:rPr>
                <w:sz w:val="20"/>
              </w:rPr>
            </w:pPr>
            <w:r>
              <w:rPr>
                <w:sz w:val="20"/>
              </w:rPr>
              <w:t>2,84</w:t>
            </w:r>
          </w:p>
        </w:tc>
        <w:tc>
          <w:tcPr>
            <w:tcW w:w="1038" w:type="dxa"/>
          </w:tcPr>
          <w:p w:rsidR="00C94252" w:rsidRDefault="00A33443">
            <w:pPr>
              <w:pStyle w:val="TableParagraph"/>
              <w:spacing w:before="106"/>
              <w:ind w:right="99"/>
              <w:jc w:val="right"/>
              <w:rPr>
                <w:sz w:val="20"/>
              </w:rPr>
            </w:pPr>
            <w:r>
              <w:rPr>
                <w:sz w:val="20"/>
              </w:rPr>
              <w:t>2,79</w:t>
            </w:r>
          </w:p>
        </w:tc>
        <w:tc>
          <w:tcPr>
            <w:tcW w:w="854" w:type="dxa"/>
          </w:tcPr>
          <w:p w:rsidR="00C94252" w:rsidRDefault="00A33443">
            <w:pPr>
              <w:pStyle w:val="TableParagraph"/>
              <w:spacing w:before="106"/>
              <w:ind w:right="100"/>
              <w:jc w:val="right"/>
              <w:rPr>
                <w:sz w:val="20"/>
              </w:rPr>
            </w:pPr>
            <w:r>
              <w:rPr>
                <w:sz w:val="20"/>
              </w:rPr>
              <w:t>2,57</w:t>
            </w:r>
          </w:p>
        </w:tc>
        <w:tc>
          <w:tcPr>
            <w:tcW w:w="681" w:type="dxa"/>
          </w:tcPr>
          <w:p w:rsidR="00C94252" w:rsidRDefault="00A33443">
            <w:pPr>
              <w:pStyle w:val="TableParagraph"/>
              <w:spacing w:before="106"/>
              <w:ind w:right="104"/>
              <w:jc w:val="right"/>
              <w:rPr>
                <w:sz w:val="20"/>
              </w:rPr>
            </w:pPr>
            <w:r>
              <w:rPr>
                <w:sz w:val="20"/>
              </w:rPr>
              <w:t>0,533</w:t>
            </w:r>
          </w:p>
        </w:tc>
      </w:tr>
      <w:tr w:rsidR="00C94252">
        <w:trPr>
          <w:trHeight w:val="520"/>
        </w:trPr>
        <w:tc>
          <w:tcPr>
            <w:tcW w:w="562" w:type="dxa"/>
          </w:tcPr>
          <w:p w:rsidR="00C94252" w:rsidRDefault="00A33443">
            <w:pPr>
              <w:pStyle w:val="TableParagraph"/>
              <w:spacing w:before="137"/>
              <w:ind w:left="12"/>
              <w:jc w:val="center"/>
              <w:rPr>
                <w:sz w:val="20"/>
              </w:rPr>
            </w:pPr>
            <w:r>
              <w:rPr>
                <w:w w:val="99"/>
                <w:sz w:val="20"/>
              </w:rPr>
              <w:t>9</w:t>
            </w:r>
          </w:p>
        </w:tc>
        <w:tc>
          <w:tcPr>
            <w:tcW w:w="2552" w:type="dxa"/>
          </w:tcPr>
          <w:p w:rsidR="00C94252" w:rsidRDefault="00A33443">
            <w:pPr>
              <w:pStyle w:val="TableParagraph"/>
              <w:spacing w:before="50" w:line="230" w:lineRule="atLeast"/>
              <w:ind w:left="109" w:right="608"/>
              <w:rPr>
                <w:sz w:val="20"/>
              </w:rPr>
            </w:pPr>
            <w:r>
              <w:rPr>
                <w:sz w:val="20"/>
              </w:rPr>
              <w:t>Financial participation regulated</w:t>
            </w:r>
          </w:p>
        </w:tc>
        <w:tc>
          <w:tcPr>
            <w:tcW w:w="675" w:type="dxa"/>
          </w:tcPr>
          <w:p w:rsidR="00C94252" w:rsidRDefault="00A33443">
            <w:pPr>
              <w:pStyle w:val="TableParagraph"/>
              <w:spacing w:before="137"/>
              <w:ind w:right="95"/>
              <w:jc w:val="right"/>
              <w:rPr>
                <w:sz w:val="20"/>
              </w:rPr>
            </w:pPr>
            <w:r>
              <w:rPr>
                <w:sz w:val="20"/>
              </w:rPr>
              <w:t>55</w:t>
            </w:r>
          </w:p>
        </w:tc>
        <w:tc>
          <w:tcPr>
            <w:tcW w:w="745" w:type="dxa"/>
            <w:tcBorders>
              <w:right w:val="single" w:sz="8" w:space="0" w:color="000000"/>
            </w:tcBorders>
          </w:tcPr>
          <w:p w:rsidR="00C94252" w:rsidRDefault="00A33443">
            <w:pPr>
              <w:pStyle w:val="TableParagraph"/>
              <w:spacing w:before="137"/>
              <w:ind w:right="92"/>
              <w:jc w:val="right"/>
              <w:rPr>
                <w:sz w:val="20"/>
              </w:rPr>
            </w:pPr>
            <w:r>
              <w:rPr>
                <w:sz w:val="20"/>
              </w:rPr>
              <w:t>1,93</w:t>
            </w:r>
          </w:p>
        </w:tc>
        <w:tc>
          <w:tcPr>
            <w:tcW w:w="995" w:type="dxa"/>
            <w:tcBorders>
              <w:left w:val="single" w:sz="8" w:space="0" w:color="000000"/>
            </w:tcBorders>
          </w:tcPr>
          <w:p w:rsidR="00C94252" w:rsidRDefault="00A33443">
            <w:pPr>
              <w:pStyle w:val="TableParagraph"/>
              <w:spacing w:before="137"/>
              <w:ind w:right="98"/>
              <w:jc w:val="right"/>
              <w:rPr>
                <w:sz w:val="20"/>
              </w:rPr>
            </w:pPr>
            <w:r>
              <w:rPr>
                <w:sz w:val="20"/>
              </w:rPr>
              <w:t>1,67</w:t>
            </w:r>
          </w:p>
        </w:tc>
        <w:tc>
          <w:tcPr>
            <w:tcW w:w="947" w:type="dxa"/>
          </w:tcPr>
          <w:p w:rsidR="00C94252" w:rsidRDefault="00A33443">
            <w:pPr>
              <w:pStyle w:val="TableParagraph"/>
              <w:spacing w:before="137"/>
              <w:ind w:right="100"/>
              <w:jc w:val="right"/>
              <w:rPr>
                <w:sz w:val="20"/>
              </w:rPr>
            </w:pPr>
            <w:r>
              <w:rPr>
                <w:sz w:val="20"/>
              </w:rPr>
              <w:t>2,18</w:t>
            </w:r>
          </w:p>
        </w:tc>
        <w:tc>
          <w:tcPr>
            <w:tcW w:w="1038" w:type="dxa"/>
          </w:tcPr>
          <w:p w:rsidR="00C94252" w:rsidRDefault="00A33443">
            <w:pPr>
              <w:pStyle w:val="TableParagraph"/>
              <w:spacing w:before="137"/>
              <w:ind w:right="99"/>
              <w:jc w:val="right"/>
              <w:rPr>
                <w:sz w:val="20"/>
              </w:rPr>
            </w:pPr>
            <w:r>
              <w:rPr>
                <w:sz w:val="20"/>
              </w:rPr>
              <w:t>1,87</w:t>
            </w:r>
          </w:p>
        </w:tc>
        <w:tc>
          <w:tcPr>
            <w:tcW w:w="854" w:type="dxa"/>
          </w:tcPr>
          <w:p w:rsidR="00C94252" w:rsidRDefault="00A33443">
            <w:pPr>
              <w:pStyle w:val="TableParagraph"/>
              <w:spacing w:before="137"/>
              <w:ind w:right="100"/>
              <w:jc w:val="right"/>
              <w:rPr>
                <w:sz w:val="20"/>
              </w:rPr>
            </w:pPr>
            <w:r>
              <w:rPr>
                <w:sz w:val="20"/>
              </w:rPr>
              <w:t>2,00</w:t>
            </w:r>
          </w:p>
        </w:tc>
        <w:tc>
          <w:tcPr>
            <w:tcW w:w="681" w:type="dxa"/>
          </w:tcPr>
          <w:p w:rsidR="00C94252" w:rsidRDefault="00A33443">
            <w:pPr>
              <w:pStyle w:val="TableParagraph"/>
              <w:spacing w:before="137"/>
              <w:ind w:right="104"/>
              <w:jc w:val="right"/>
              <w:rPr>
                <w:sz w:val="20"/>
              </w:rPr>
            </w:pPr>
            <w:r>
              <w:rPr>
                <w:sz w:val="20"/>
              </w:rPr>
              <w:t>0,739</w:t>
            </w:r>
          </w:p>
        </w:tc>
      </w:tr>
      <w:tr w:rsidR="00C94252">
        <w:trPr>
          <w:trHeight w:val="542"/>
        </w:trPr>
        <w:tc>
          <w:tcPr>
            <w:tcW w:w="562" w:type="dxa"/>
          </w:tcPr>
          <w:p w:rsidR="00C94252" w:rsidRDefault="00A33443">
            <w:pPr>
              <w:pStyle w:val="TableParagraph"/>
              <w:spacing w:before="146"/>
              <w:ind w:left="163" w:right="149"/>
              <w:jc w:val="center"/>
              <w:rPr>
                <w:sz w:val="20"/>
              </w:rPr>
            </w:pPr>
            <w:r>
              <w:rPr>
                <w:sz w:val="20"/>
              </w:rPr>
              <w:t>10</w:t>
            </w:r>
          </w:p>
        </w:tc>
        <w:tc>
          <w:tcPr>
            <w:tcW w:w="2552" w:type="dxa"/>
          </w:tcPr>
          <w:p w:rsidR="00C94252" w:rsidRDefault="00A33443">
            <w:pPr>
              <w:pStyle w:val="TableParagraph"/>
              <w:spacing w:before="76" w:line="228" w:lineRule="exact"/>
              <w:ind w:left="109" w:right="713"/>
              <w:rPr>
                <w:sz w:val="20"/>
              </w:rPr>
            </w:pPr>
            <w:r>
              <w:rPr>
                <w:sz w:val="20"/>
              </w:rPr>
              <w:t>Incentives for energy regions provided</w:t>
            </w:r>
          </w:p>
        </w:tc>
        <w:tc>
          <w:tcPr>
            <w:tcW w:w="675" w:type="dxa"/>
          </w:tcPr>
          <w:p w:rsidR="00C94252" w:rsidRDefault="00A33443">
            <w:pPr>
              <w:pStyle w:val="TableParagraph"/>
              <w:spacing w:before="146"/>
              <w:ind w:right="95"/>
              <w:jc w:val="right"/>
              <w:rPr>
                <w:sz w:val="20"/>
              </w:rPr>
            </w:pPr>
            <w:r>
              <w:rPr>
                <w:sz w:val="20"/>
              </w:rPr>
              <w:t>51</w:t>
            </w:r>
          </w:p>
        </w:tc>
        <w:tc>
          <w:tcPr>
            <w:tcW w:w="745" w:type="dxa"/>
          </w:tcPr>
          <w:p w:rsidR="00C94252" w:rsidRDefault="00A33443">
            <w:pPr>
              <w:pStyle w:val="TableParagraph"/>
              <w:spacing w:before="146"/>
              <w:ind w:right="97"/>
              <w:jc w:val="right"/>
              <w:rPr>
                <w:sz w:val="20"/>
              </w:rPr>
            </w:pPr>
            <w:r>
              <w:rPr>
                <w:sz w:val="20"/>
              </w:rPr>
              <w:t>2,00</w:t>
            </w:r>
          </w:p>
        </w:tc>
        <w:tc>
          <w:tcPr>
            <w:tcW w:w="995" w:type="dxa"/>
          </w:tcPr>
          <w:p w:rsidR="00C94252" w:rsidRDefault="00A33443">
            <w:pPr>
              <w:pStyle w:val="TableParagraph"/>
              <w:spacing w:before="146"/>
              <w:ind w:right="98"/>
              <w:jc w:val="right"/>
              <w:rPr>
                <w:sz w:val="20"/>
              </w:rPr>
            </w:pPr>
            <w:r>
              <w:rPr>
                <w:sz w:val="20"/>
              </w:rPr>
              <w:t>1,88</w:t>
            </w:r>
          </w:p>
        </w:tc>
        <w:tc>
          <w:tcPr>
            <w:tcW w:w="947" w:type="dxa"/>
          </w:tcPr>
          <w:p w:rsidR="00C94252" w:rsidRDefault="00A33443">
            <w:pPr>
              <w:pStyle w:val="TableParagraph"/>
              <w:spacing w:before="146"/>
              <w:ind w:right="100"/>
              <w:jc w:val="right"/>
              <w:rPr>
                <w:sz w:val="20"/>
              </w:rPr>
            </w:pPr>
            <w:r>
              <w:rPr>
                <w:sz w:val="20"/>
              </w:rPr>
              <w:t>2,33</w:t>
            </w:r>
          </w:p>
        </w:tc>
        <w:tc>
          <w:tcPr>
            <w:tcW w:w="1038" w:type="dxa"/>
          </w:tcPr>
          <w:p w:rsidR="00C94252" w:rsidRDefault="00A33443">
            <w:pPr>
              <w:pStyle w:val="TableParagraph"/>
              <w:spacing w:before="146"/>
              <w:ind w:right="99"/>
              <w:jc w:val="right"/>
              <w:rPr>
                <w:sz w:val="20"/>
              </w:rPr>
            </w:pPr>
            <w:r>
              <w:rPr>
                <w:sz w:val="20"/>
              </w:rPr>
              <w:t>1,83</w:t>
            </w:r>
          </w:p>
        </w:tc>
        <w:tc>
          <w:tcPr>
            <w:tcW w:w="854" w:type="dxa"/>
          </w:tcPr>
          <w:p w:rsidR="00C94252" w:rsidRDefault="00A33443">
            <w:pPr>
              <w:pStyle w:val="TableParagraph"/>
              <w:spacing w:before="146"/>
              <w:ind w:right="100"/>
              <w:jc w:val="right"/>
              <w:rPr>
                <w:sz w:val="20"/>
              </w:rPr>
            </w:pPr>
            <w:r>
              <w:rPr>
                <w:sz w:val="20"/>
              </w:rPr>
              <w:t>1,86</w:t>
            </w:r>
          </w:p>
        </w:tc>
        <w:tc>
          <w:tcPr>
            <w:tcW w:w="681" w:type="dxa"/>
          </w:tcPr>
          <w:p w:rsidR="00C94252" w:rsidRDefault="00A33443">
            <w:pPr>
              <w:pStyle w:val="TableParagraph"/>
              <w:spacing w:before="146"/>
              <w:ind w:right="104"/>
              <w:jc w:val="right"/>
              <w:rPr>
                <w:sz w:val="20"/>
              </w:rPr>
            </w:pPr>
            <w:r>
              <w:rPr>
                <w:sz w:val="20"/>
              </w:rPr>
              <w:t>0,575</w:t>
            </w:r>
          </w:p>
        </w:tc>
      </w:tr>
    </w:tbl>
    <w:p w:rsidR="00C94252" w:rsidRDefault="00C94252">
      <w:pPr>
        <w:pStyle w:val="Brdtekst"/>
        <w:spacing w:before="3"/>
        <w:rPr>
          <w:sz w:val="15"/>
        </w:rPr>
      </w:pPr>
    </w:p>
    <w:p w:rsidR="00C94252" w:rsidRDefault="00A33443">
      <w:pPr>
        <w:pStyle w:val="Brdtekst"/>
        <w:spacing w:before="90"/>
        <w:ind w:left="116"/>
      </w:pPr>
      <w:r>
        <w:rPr>
          <w:b/>
        </w:rPr>
        <w:t>Table B.3</w:t>
      </w:r>
      <w:r>
        <w:t>. Perceived influence of different actor groups: local planning. Significance levels:</w:t>
      </w:r>
    </w:p>
    <w:p w:rsidR="00C94252" w:rsidRDefault="00A33443">
      <w:pPr>
        <w:pStyle w:val="Brdtekst"/>
        <w:spacing w:after="6"/>
        <w:ind w:left="116" w:right="171"/>
      </w:pPr>
      <w:r>
        <w:t>**p&lt;0.05; *p&lt;0.1. Scale: 1=‘not involved’; 2=‘low influence’; 3=‘moderate influence’; 4=‘high influence’.</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022"/>
        <w:gridCol w:w="915"/>
        <w:gridCol w:w="783"/>
        <w:gridCol w:w="978"/>
        <w:gridCol w:w="891"/>
        <w:gridCol w:w="1049"/>
        <w:gridCol w:w="1006"/>
        <w:gridCol w:w="787"/>
      </w:tblGrid>
      <w:tr w:rsidR="00C94252">
        <w:trPr>
          <w:trHeight w:val="708"/>
        </w:trPr>
        <w:tc>
          <w:tcPr>
            <w:tcW w:w="562" w:type="dxa"/>
            <w:vMerge w:val="restart"/>
          </w:tcPr>
          <w:p w:rsidR="00C94252" w:rsidRDefault="00C94252">
            <w:pPr>
              <w:pStyle w:val="TableParagraph"/>
            </w:pPr>
          </w:p>
          <w:p w:rsidR="00C94252" w:rsidRDefault="00C94252">
            <w:pPr>
              <w:pStyle w:val="TableParagraph"/>
            </w:pPr>
          </w:p>
          <w:p w:rsidR="00C94252" w:rsidRDefault="00A33443">
            <w:pPr>
              <w:pStyle w:val="TableParagraph"/>
              <w:spacing w:before="133"/>
              <w:ind w:left="141"/>
              <w:rPr>
                <w:i/>
                <w:sz w:val="20"/>
              </w:rPr>
            </w:pPr>
            <w:r>
              <w:rPr>
                <w:i/>
                <w:sz w:val="20"/>
              </w:rPr>
              <w:t>No.</w:t>
            </w:r>
          </w:p>
        </w:tc>
        <w:tc>
          <w:tcPr>
            <w:tcW w:w="2022" w:type="dxa"/>
            <w:vMerge w:val="restart"/>
          </w:tcPr>
          <w:p w:rsidR="00C94252" w:rsidRDefault="00C94252">
            <w:pPr>
              <w:pStyle w:val="TableParagraph"/>
            </w:pPr>
          </w:p>
          <w:p w:rsidR="00C94252" w:rsidRDefault="00C94252">
            <w:pPr>
              <w:pStyle w:val="TableParagraph"/>
            </w:pPr>
          </w:p>
          <w:p w:rsidR="00C94252" w:rsidRDefault="00A33443">
            <w:pPr>
              <w:pStyle w:val="TableParagraph"/>
              <w:spacing w:before="133"/>
              <w:ind w:left="524"/>
              <w:rPr>
                <w:i/>
                <w:sz w:val="20"/>
              </w:rPr>
            </w:pPr>
            <w:r>
              <w:rPr>
                <w:i/>
                <w:sz w:val="20"/>
              </w:rPr>
              <w:t>Actor group</w:t>
            </w:r>
          </w:p>
        </w:tc>
        <w:tc>
          <w:tcPr>
            <w:tcW w:w="1698" w:type="dxa"/>
            <w:gridSpan w:val="2"/>
          </w:tcPr>
          <w:p w:rsidR="00C94252" w:rsidRDefault="00A33443">
            <w:pPr>
              <w:pStyle w:val="TableParagraph"/>
              <w:spacing w:before="5"/>
              <w:ind w:left="142" w:right="114" w:firstLine="326"/>
              <w:rPr>
                <w:i/>
                <w:sz w:val="20"/>
              </w:rPr>
            </w:pPr>
            <w:r>
              <w:rPr>
                <w:i/>
                <w:sz w:val="20"/>
              </w:rPr>
              <w:t>Summary statistics for each</w:t>
            </w:r>
          </w:p>
          <w:p w:rsidR="00C94252" w:rsidRDefault="00A33443">
            <w:pPr>
              <w:pStyle w:val="TableParagraph"/>
              <w:spacing w:line="223" w:lineRule="exact"/>
              <w:ind w:left="373"/>
              <w:rPr>
                <w:i/>
                <w:sz w:val="20"/>
              </w:rPr>
            </w:pPr>
            <w:r>
              <w:rPr>
                <w:i/>
                <w:sz w:val="20"/>
              </w:rPr>
              <w:t>actor group</w:t>
            </w:r>
          </w:p>
        </w:tc>
        <w:tc>
          <w:tcPr>
            <w:tcW w:w="4711" w:type="dxa"/>
            <w:gridSpan w:val="5"/>
          </w:tcPr>
          <w:p w:rsidR="00C94252" w:rsidRDefault="00C94252">
            <w:pPr>
              <w:pStyle w:val="TableParagraph"/>
              <w:spacing w:before="3"/>
              <w:rPr>
                <w:sz w:val="20"/>
              </w:rPr>
            </w:pPr>
          </w:p>
          <w:p w:rsidR="00C94252" w:rsidRDefault="00A33443">
            <w:pPr>
              <w:pStyle w:val="TableParagraph"/>
              <w:ind w:left="933"/>
              <w:rPr>
                <w:i/>
                <w:sz w:val="20"/>
              </w:rPr>
            </w:pPr>
            <w:r>
              <w:rPr>
                <w:i/>
                <w:sz w:val="20"/>
              </w:rPr>
              <w:t>Regional differences: large regions</w:t>
            </w:r>
          </w:p>
        </w:tc>
      </w:tr>
      <w:tr w:rsidR="00C94252">
        <w:trPr>
          <w:trHeight w:val="798"/>
        </w:trPr>
        <w:tc>
          <w:tcPr>
            <w:tcW w:w="562" w:type="dxa"/>
            <w:vMerge/>
            <w:tcBorders>
              <w:top w:val="nil"/>
            </w:tcBorders>
          </w:tcPr>
          <w:p w:rsidR="00C94252" w:rsidRDefault="00C94252">
            <w:pPr>
              <w:rPr>
                <w:sz w:val="2"/>
                <w:szCs w:val="2"/>
              </w:rPr>
            </w:pPr>
          </w:p>
        </w:tc>
        <w:tc>
          <w:tcPr>
            <w:tcW w:w="2022" w:type="dxa"/>
            <w:vMerge/>
            <w:tcBorders>
              <w:top w:val="nil"/>
            </w:tcBorders>
          </w:tcPr>
          <w:p w:rsidR="00C94252" w:rsidRDefault="00C94252">
            <w:pPr>
              <w:rPr>
                <w:sz w:val="2"/>
                <w:szCs w:val="2"/>
              </w:rPr>
            </w:pPr>
          </w:p>
        </w:tc>
        <w:tc>
          <w:tcPr>
            <w:tcW w:w="915" w:type="dxa"/>
          </w:tcPr>
          <w:p w:rsidR="00C94252" w:rsidRDefault="00C94252">
            <w:pPr>
              <w:pStyle w:val="TableParagraph"/>
              <w:spacing w:before="5"/>
              <w:rPr>
                <w:sz w:val="24"/>
              </w:rPr>
            </w:pPr>
          </w:p>
          <w:p w:rsidR="00C94252" w:rsidRDefault="00A33443">
            <w:pPr>
              <w:pStyle w:val="TableParagraph"/>
              <w:ind w:right="140"/>
              <w:jc w:val="right"/>
              <w:rPr>
                <w:i/>
                <w:sz w:val="20"/>
              </w:rPr>
            </w:pPr>
            <w:r>
              <w:rPr>
                <w:i/>
                <w:sz w:val="20"/>
              </w:rPr>
              <w:t>N Valid</w:t>
            </w:r>
          </w:p>
        </w:tc>
        <w:tc>
          <w:tcPr>
            <w:tcW w:w="783" w:type="dxa"/>
          </w:tcPr>
          <w:p w:rsidR="00C94252" w:rsidRDefault="00C94252">
            <w:pPr>
              <w:pStyle w:val="TableParagraph"/>
              <w:spacing w:before="5"/>
              <w:rPr>
                <w:sz w:val="24"/>
              </w:rPr>
            </w:pPr>
          </w:p>
          <w:p w:rsidR="00C94252" w:rsidRDefault="00A33443">
            <w:pPr>
              <w:pStyle w:val="TableParagraph"/>
              <w:ind w:right="152"/>
              <w:jc w:val="right"/>
              <w:rPr>
                <w:i/>
                <w:sz w:val="20"/>
              </w:rPr>
            </w:pPr>
            <w:r>
              <w:rPr>
                <w:i/>
                <w:w w:val="95"/>
                <w:sz w:val="20"/>
              </w:rPr>
              <w:t>Mean</w:t>
            </w:r>
          </w:p>
        </w:tc>
        <w:tc>
          <w:tcPr>
            <w:tcW w:w="978" w:type="dxa"/>
          </w:tcPr>
          <w:p w:rsidR="00C94252" w:rsidRDefault="00A33443">
            <w:pPr>
              <w:pStyle w:val="TableParagraph"/>
              <w:spacing w:before="166"/>
              <w:ind w:left="194" w:hanging="72"/>
              <w:rPr>
                <w:i/>
                <w:sz w:val="20"/>
              </w:rPr>
            </w:pPr>
            <w:r>
              <w:rPr>
                <w:i/>
                <w:w w:val="95"/>
                <w:sz w:val="20"/>
              </w:rPr>
              <w:t xml:space="preserve">Northern </w:t>
            </w:r>
            <w:r>
              <w:rPr>
                <w:i/>
                <w:sz w:val="20"/>
              </w:rPr>
              <w:t>Europe</w:t>
            </w:r>
          </w:p>
        </w:tc>
        <w:tc>
          <w:tcPr>
            <w:tcW w:w="891" w:type="dxa"/>
          </w:tcPr>
          <w:p w:rsidR="00C94252" w:rsidRDefault="00A33443">
            <w:pPr>
              <w:pStyle w:val="TableParagraph"/>
              <w:spacing w:before="166"/>
              <w:ind w:left="147" w:hanging="32"/>
              <w:rPr>
                <w:i/>
                <w:sz w:val="20"/>
              </w:rPr>
            </w:pPr>
            <w:r>
              <w:rPr>
                <w:i/>
                <w:w w:val="95"/>
                <w:sz w:val="20"/>
              </w:rPr>
              <w:t xml:space="preserve">Western </w:t>
            </w:r>
            <w:r>
              <w:rPr>
                <w:i/>
                <w:sz w:val="20"/>
              </w:rPr>
              <w:t>Europe</w:t>
            </w:r>
          </w:p>
        </w:tc>
        <w:tc>
          <w:tcPr>
            <w:tcW w:w="1049" w:type="dxa"/>
          </w:tcPr>
          <w:p w:rsidR="00C94252" w:rsidRDefault="00A33443">
            <w:pPr>
              <w:pStyle w:val="TableParagraph"/>
              <w:spacing w:before="50"/>
              <w:ind w:left="209" w:right="89" w:hanging="96"/>
              <w:rPr>
                <w:i/>
                <w:sz w:val="20"/>
              </w:rPr>
            </w:pPr>
            <w:r>
              <w:rPr>
                <w:i/>
                <w:sz w:val="20"/>
              </w:rPr>
              <w:t>Central &amp; Eastern Europe</w:t>
            </w:r>
          </w:p>
        </w:tc>
        <w:tc>
          <w:tcPr>
            <w:tcW w:w="1006" w:type="dxa"/>
          </w:tcPr>
          <w:p w:rsidR="00C94252" w:rsidRDefault="00A33443">
            <w:pPr>
              <w:pStyle w:val="TableParagraph"/>
              <w:spacing w:before="166"/>
              <w:ind w:left="204" w:right="119" w:hanging="70"/>
              <w:rPr>
                <w:i/>
                <w:sz w:val="20"/>
              </w:rPr>
            </w:pPr>
            <w:r>
              <w:rPr>
                <w:i/>
                <w:sz w:val="20"/>
              </w:rPr>
              <w:t>Southern Europe</w:t>
            </w:r>
          </w:p>
        </w:tc>
        <w:tc>
          <w:tcPr>
            <w:tcW w:w="787" w:type="dxa"/>
            <w:tcBorders>
              <w:bottom w:val="single" w:sz="6" w:space="0" w:color="000000"/>
            </w:tcBorders>
          </w:tcPr>
          <w:p w:rsidR="00C94252" w:rsidRDefault="00C94252">
            <w:pPr>
              <w:pStyle w:val="TableParagraph"/>
              <w:spacing w:before="5"/>
              <w:rPr>
                <w:sz w:val="24"/>
              </w:rPr>
            </w:pPr>
          </w:p>
          <w:p w:rsidR="00C94252" w:rsidRDefault="00A33443">
            <w:pPr>
              <w:pStyle w:val="TableParagraph"/>
              <w:ind w:left="1"/>
              <w:jc w:val="center"/>
              <w:rPr>
                <w:i/>
                <w:sz w:val="20"/>
              </w:rPr>
            </w:pPr>
            <w:r>
              <w:rPr>
                <w:i/>
                <w:w w:val="99"/>
                <w:sz w:val="20"/>
              </w:rPr>
              <w:t>p</w:t>
            </w:r>
          </w:p>
        </w:tc>
      </w:tr>
      <w:tr w:rsidR="00C94252">
        <w:trPr>
          <w:trHeight w:val="359"/>
        </w:trPr>
        <w:tc>
          <w:tcPr>
            <w:tcW w:w="2584" w:type="dxa"/>
            <w:gridSpan w:val="2"/>
          </w:tcPr>
          <w:p w:rsidR="00C94252" w:rsidRDefault="00A33443">
            <w:pPr>
              <w:pStyle w:val="TableParagraph"/>
              <w:spacing w:before="62"/>
              <w:ind w:left="750"/>
              <w:rPr>
                <w:sz w:val="20"/>
              </w:rPr>
            </w:pPr>
            <w:r>
              <w:rPr>
                <w:sz w:val="20"/>
              </w:rPr>
              <w:t>Overall mean</w:t>
            </w:r>
          </w:p>
        </w:tc>
        <w:tc>
          <w:tcPr>
            <w:tcW w:w="915" w:type="dxa"/>
          </w:tcPr>
          <w:p w:rsidR="00C94252" w:rsidRDefault="00A33443">
            <w:pPr>
              <w:pStyle w:val="TableParagraph"/>
              <w:spacing w:before="62"/>
              <w:ind w:right="96"/>
              <w:jc w:val="right"/>
              <w:rPr>
                <w:sz w:val="20"/>
              </w:rPr>
            </w:pPr>
            <w:r>
              <w:rPr>
                <w:w w:val="99"/>
                <w:sz w:val="20"/>
              </w:rPr>
              <w:t>-</w:t>
            </w:r>
          </w:p>
        </w:tc>
        <w:tc>
          <w:tcPr>
            <w:tcW w:w="783" w:type="dxa"/>
          </w:tcPr>
          <w:p w:rsidR="00C94252" w:rsidRDefault="00A33443">
            <w:pPr>
              <w:pStyle w:val="TableParagraph"/>
              <w:spacing w:before="62"/>
              <w:ind w:right="95"/>
              <w:jc w:val="right"/>
              <w:rPr>
                <w:sz w:val="20"/>
              </w:rPr>
            </w:pPr>
            <w:r>
              <w:rPr>
                <w:sz w:val="20"/>
              </w:rPr>
              <w:t>3,10</w:t>
            </w:r>
          </w:p>
        </w:tc>
        <w:tc>
          <w:tcPr>
            <w:tcW w:w="978" w:type="dxa"/>
          </w:tcPr>
          <w:p w:rsidR="00C94252" w:rsidRDefault="00A33443">
            <w:pPr>
              <w:pStyle w:val="TableParagraph"/>
              <w:spacing w:before="62"/>
              <w:ind w:right="96"/>
              <w:jc w:val="right"/>
              <w:rPr>
                <w:sz w:val="20"/>
              </w:rPr>
            </w:pPr>
            <w:r>
              <w:rPr>
                <w:sz w:val="20"/>
              </w:rPr>
              <w:t>3,03</w:t>
            </w:r>
          </w:p>
        </w:tc>
        <w:tc>
          <w:tcPr>
            <w:tcW w:w="891" w:type="dxa"/>
          </w:tcPr>
          <w:p w:rsidR="00C94252" w:rsidRDefault="00A33443">
            <w:pPr>
              <w:pStyle w:val="TableParagraph"/>
              <w:spacing w:before="62"/>
              <w:ind w:right="99"/>
              <w:jc w:val="right"/>
              <w:rPr>
                <w:sz w:val="20"/>
              </w:rPr>
            </w:pPr>
            <w:r>
              <w:rPr>
                <w:sz w:val="20"/>
              </w:rPr>
              <w:t>3,40</w:t>
            </w:r>
          </w:p>
        </w:tc>
        <w:tc>
          <w:tcPr>
            <w:tcW w:w="1049" w:type="dxa"/>
          </w:tcPr>
          <w:p w:rsidR="00C94252" w:rsidRDefault="00A33443">
            <w:pPr>
              <w:pStyle w:val="TableParagraph"/>
              <w:spacing w:before="62"/>
              <w:ind w:right="99"/>
              <w:jc w:val="right"/>
              <w:rPr>
                <w:sz w:val="20"/>
              </w:rPr>
            </w:pPr>
            <w:r>
              <w:rPr>
                <w:sz w:val="20"/>
              </w:rPr>
              <w:t>3,00</w:t>
            </w:r>
          </w:p>
        </w:tc>
        <w:tc>
          <w:tcPr>
            <w:tcW w:w="1006" w:type="dxa"/>
          </w:tcPr>
          <w:p w:rsidR="00C94252" w:rsidRDefault="00A33443">
            <w:pPr>
              <w:pStyle w:val="TableParagraph"/>
              <w:spacing w:before="62"/>
              <w:ind w:right="99"/>
              <w:jc w:val="right"/>
              <w:rPr>
                <w:sz w:val="20"/>
              </w:rPr>
            </w:pPr>
            <w:r>
              <w:rPr>
                <w:sz w:val="20"/>
              </w:rPr>
              <w:t>2,83</w:t>
            </w:r>
          </w:p>
        </w:tc>
        <w:tc>
          <w:tcPr>
            <w:tcW w:w="787" w:type="dxa"/>
            <w:tcBorders>
              <w:top w:val="single" w:sz="6" w:space="0" w:color="000000"/>
              <w:bottom w:val="single" w:sz="6" w:space="0" w:color="000000"/>
            </w:tcBorders>
          </w:tcPr>
          <w:p w:rsidR="00C94252" w:rsidRDefault="00A33443">
            <w:pPr>
              <w:pStyle w:val="TableParagraph"/>
              <w:spacing w:before="62"/>
              <w:ind w:right="100"/>
              <w:jc w:val="right"/>
              <w:rPr>
                <w:i/>
                <w:sz w:val="20"/>
              </w:rPr>
            </w:pPr>
            <w:r>
              <w:rPr>
                <w:i/>
                <w:w w:val="99"/>
                <w:sz w:val="20"/>
              </w:rPr>
              <w:t>-</w:t>
            </w:r>
          </w:p>
        </w:tc>
      </w:tr>
      <w:tr w:rsidR="00C94252">
        <w:trPr>
          <w:trHeight w:val="342"/>
        </w:trPr>
        <w:tc>
          <w:tcPr>
            <w:tcW w:w="562" w:type="dxa"/>
          </w:tcPr>
          <w:p w:rsidR="00C94252" w:rsidRDefault="00A33443">
            <w:pPr>
              <w:pStyle w:val="TableParagraph"/>
              <w:spacing w:before="53"/>
              <w:ind w:left="12"/>
              <w:jc w:val="center"/>
              <w:rPr>
                <w:sz w:val="20"/>
              </w:rPr>
            </w:pPr>
            <w:r>
              <w:rPr>
                <w:w w:val="99"/>
                <w:sz w:val="20"/>
              </w:rPr>
              <w:t>1</w:t>
            </w:r>
          </w:p>
        </w:tc>
        <w:tc>
          <w:tcPr>
            <w:tcW w:w="2022" w:type="dxa"/>
            <w:tcBorders>
              <w:right w:val="single" w:sz="8" w:space="0" w:color="000000"/>
            </w:tcBorders>
          </w:tcPr>
          <w:p w:rsidR="00C94252" w:rsidRDefault="00A33443">
            <w:pPr>
              <w:pStyle w:val="TableParagraph"/>
              <w:spacing w:before="57"/>
              <w:ind w:left="109"/>
              <w:rPr>
                <w:b/>
                <w:sz w:val="20"/>
              </w:rPr>
            </w:pPr>
            <w:r>
              <w:rPr>
                <w:b/>
                <w:sz w:val="20"/>
              </w:rPr>
              <w:t>**Local council</w:t>
            </w:r>
          </w:p>
        </w:tc>
        <w:tc>
          <w:tcPr>
            <w:tcW w:w="915" w:type="dxa"/>
            <w:tcBorders>
              <w:left w:val="single" w:sz="8" w:space="0" w:color="000000"/>
            </w:tcBorders>
          </w:tcPr>
          <w:p w:rsidR="00C94252" w:rsidRDefault="00A33443">
            <w:pPr>
              <w:pStyle w:val="TableParagraph"/>
              <w:spacing w:before="53"/>
              <w:ind w:right="93"/>
              <w:jc w:val="right"/>
              <w:rPr>
                <w:sz w:val="20"/>
              </w:rPr>
            </w:pPr>
            <w:r>
              <w:rPr>
                <w:sz w:val="20"/>
              </w:rPr>
              <w:t>61</w:t>
            </w:r>
          </w:p>
        </w:tc>
        <w:tc>
          <w:tcPr>
            <w:tcW w:w="783" w:type="dxa"/>
            <w:tcBorders>
              <w:right w:val="single" w:sz="8" w:space="0" w:color="000000"/>
            </w:tcBorders>
          </w:tcPr>
          <w:p w:rsidR="00C94252" w:rsidRDefault="00A33443">
            <w:pPr>
              <w:pStyle w:val="TableParagraph"/>
              <w:spacing w:before="53"/>
              <w:ind w:right="90"/>
              <w:jc w:val="right"/>
              <w:rPr>
                <w:sz w:val="20"/>
              </w:rPr>
            </w:pPr>
            <w:r>
              <w:rPr>
                <w:sz w:val="20"/>
              </w:rPr>
              <w:t>3,49</w:t>
            </w:r>
          </w:p>
        </w:tc>
        <w:tc>
          <w:tcPr>
            <w:tcW w:w="978" w:type="dxa"/>
            <w:tcBorders>
              <w:left w:val="single" w:sz="8" w:space="0" w:color="000000"/>
            </w:tcBorders>
          </w:tcPr>
          <w:p w:rsidR="00C94252" w:rsidRDefault="00A33443">
            <w:pPr>
              <w:pStyle w:val="TableParagraph"/>
              <w:spacing w:before="53"/>
              <w:ind w:right="96"/>
              <w:jc w:val="right"/>
              <w:rPr>
                <w:sz w:val="20"/>
              </w:rPr>
            </w:pPr>
            <w:r>
              <w:rPr>
                <w:sz w:val="20"/>
              </w:rPr>
              <w:t>3,58</w:t>
            </w:r>
          </w:p>
        </w:tc>
        <w:tc>
          <w:tcPr>
            <w:tcW w:w="891" w:type="dxa"/>
          </w:tcPr>
          <w:p w:rsidR="00C94252" w:rsidRDefault="00A33443">
            <w:pPr>
              <w:pStyle w:val="TableParagraph"/>
              <w:spacing w:before="53"/>
              <w:ind w:right="99"/>
              <w:jc w:val="right"/>
              <w:rPr>
                <w:sz w:val="20"/>
              </w:rPr>
            </w:pPr>
            <w:r>
              <w:rPr>
                <w:sz w:val="20"/>
              </w:rPr>
              <w:t>3,88</w:t>
            </w:r>
          </w:p>
        </w:tc>
        <w:tc>
          <w:tcPr>
            <w:tcW w:w="1049" w:type="dxa"/>
          </w:tcPr>
          <w:p w:rsidR="00C94252" w:rsidRDefault="00A33443">
            <w:pPr>
              <w:pStyle w:val="TableParagraph"/>
              <w:spacing w:before="53"/>
              <w:ind w:right="99"/>
              <w:jc w:val="right"/>
              <w:rPr>
                <w:sz w:val="20"/>
              </w:rPr>
            </w:pPr>
            <w:r>
              <w:rPr>
                <w:sz w:val="20"/>
              </w:rPr>
              <w:t>3,28</w:t>
            </w:r>
          </w:p>
        </w:tc>
        <w:tc>
          <w:tcPr>
            <w:tcW w:w="1006" w:type="dxa"/>
          </w:tcPr>
          <w:p w:rsidR="00C94252" w:rsidRDefault="00A33443">
            <w:pPr>
              <w:pStyle w:val="TableParagraph"/>
              <w:spacing w:before="53"/>
              <w:ind w:right="99"/>
              <w:jc w:val="right"/>
              <w:rPr>
                <w:sz w:val="20"/>
              </w:rPr>
            </w:pPr>
            <w:r>
              <w:rPr>
                <w:sz w:val="20"/>
              </w:rPr>
              <w:t>3,14</w:t>
            </w:r>
          </w:p>
        </w:tc>
        <w:tc>
          <w:tcPr>
            <w:tcW w:w="787" w:type="dxa"/>
            <w:tcBorders>
              <w:top w:val="single" w:sz="6" w:space="0" w:color="000000"/>
            </w:tcBorders>
          </w:tcPr>
          <w:p w:rsidR="00C94252" w:rsidRDefault="00A33443">
            <w:pPr>
              <w:pStyle w:val="TableParagraph"/>
              <w:spacing w:before="57"/>
              <w:ind w:right="99"/>
              <w:jc w:val="right"/>
              <w:rPr>
                <w:b/>
                <w:sz w:val="20"/>
              </w:rPr>
            </w:pPr>
            <w:r>
              <w:rPr>
                <w:b/>
                <w:sz w:val="20"/>
              </w:rPr>
              <w:t>0,013</w:t>
            </w:r>
          </w:p>
        </w:tc>
      </w:tr>
      <w:tr w:rsidR="00C94252">
        <w:trPr>
          <w:trHeight w:val="318"/>
        </w:trPr>
        <w:tc>
          <w:tcPr>
            <w:tcW w:w="562" w:type="dxa"/>
          </w:tcPr>
          <w:p w:rsidR="00C94252" w:rsidRDefault="00A33443">
            <w:pPr>
              <w:pStyle w:val="TableParagraph"/>
              <w:spacing w:before="41"/>
              <w:ind w:left="12"/>
              <w:jc w:val="center"/>
              <w:rPr>
                <w:sz w:val="20"/>
              </w:rPr>
            </w:pPr>
            <w:r>
              <w:rPr>
                <w:w w:val="99"/>
                <w:sz w:val="20"/>
              </w:rPr>
              <w:t>2</w:t>
            </w:r>
          </w:p>
        </w:tc>
        <w:tc>
          <w:tcPr>
            <w:tcW w:w="2022" w:type="dxa"/>
          </w:tcPr>
          <w:p w:rsidR="00C94252" w:rsidRDefault="00A33443">
            <w:pPr>
              <w:pStyle w:val="TableParagraph"/>
              <w:spacing w:before="41"/>
              <w:ind w:left="109"/>
              <w:rPr>
                <w:sz w:val="20"/>
              </w:rPr>
            </w:pPr>
            <w:r>
              <w:rPr>
                <w:sz w:val="20"/>
              </w:rPr>
              <w:t>Local authorities</w:t>
            </w:r>
          </w:p>
        </w:tc>
        <w:tc>
          <w:tcPr>
            <w:tcW w:w="915" w:type="dxa"/>
          </w:tcPr>
          <w:p w:rsidR="00C94252" w:rsidRDefault="00A33443">
            <w:pPr>
              <w:pStyle w:val="TableParagraph"/>
              <w:spacing w:before="41"/>
              <w:ind w:right="93"/>
              <w:jc w:val="right"/>
              <w:rPr>
                <w:sz w:val="20"/>
              </w:rPr>
            </w:pPr>
            <w:r>
              <w:rPr>
                <w:sz w:val="20"/>
              </w:rPr>
              <w:t>66</w:t>
            </w:r>
          </w:p>
        </w:tc>
        <w:tc>
          <w:tcPr>
            <w:tcW w:w="783" w:type="dxa"/>
            <w:tcBorders>
              <w:right w:val="single" w:sz="8" w:space="0" w:color="000000"/>
            </w:tcBorders>
          </w:tcPr>
          <w:p w:rsidR="00C94252" w:rsidRDefault="00A33443">
            <w:pPr>
              <w:pStyle w:val="TableParagraph"/>
              <w:spacing w:before="41"/>
              <w:ind w:right="90"/>
              <w:jc w:val="right"/>
              <w:rPr>
                <w:sz w:val="20"/>
              </w:rPr>
            </w:pPr>
            <w:r>
              <w:rPr>
                <w:sz w:val="20"/>
              </w:rPr>
              <w:t>3,42</w:t>
            </w:r>
          </w:p>
        </w:tc>
        <w:tc>
          <w:tcPr>
            <w:tcW w:w="978" w:type="dxa"/>
            <w:tcBorders>
              <w:left w:val="single" w:sz="8" w:space="0" w:color="000000"/>
            </w:tcBorders>
          </w:tcPr>
          <w:p w:rsidR="00C94252" w:rsidRDefault="00A33443">
            <w:pPr>
              <w:pStyle w:val="TableParagraph"/>
              <w:spacing w:before="41"/>
              <w:ind w:right="96"/>
              <w:jc w:val="right"/>
              <w:rPr>
                <w:sz w:val="20"/>
              </w:rPr>
            </w:pPr>
            <w:r>
              <w:rPr>
                <w:sz w:val="20"/>
              </w:rPr>
              <w:t>3,62</w:t>
            </w:r>
          </w:p>
        </w:tc>
        <w:tc>
          <w:tcPr>
            <w:tcW w:w="891" w:type="dxa"/>
          </w:tcPr>
          <w:p w:rsidR="00C94252" w:rsidRDefault="00A33443">
            <w:pPr>
              <w:pStyle w:val="TableParagraph"/>
              <w:spacing w:before="41"/>
              <w:ind w:right="99"/>
              <w:jc w:val="right"/>
              <w:rPr>
                <w:sz w:val="20"/>
              </w:rPr>
            </w:pPr>
            <w:r>
              <w:rPr>
                <w:sz w:val="20"/>
              </w:rPr>
              <w:t>3,58</w:t>
            </w:r>
          </w:p>
        </w:tc>
        <w:tc>
          <w:tcPr>
            <w:tcW w:w="1049" w:type="dxa"/>
          </w:tcPr>
          <w:p w:rsidR="00C94252" w:rsidRDefault="00A33443">
            <w:pPr>
              <w:pStyle w:val="TableParagraph"/>
              <w:spacing w:before="41"/>
              <w:ind w:right="99"/>
              <w:jc w:val="right"/>
              <w:rPr>
                <w:sz w:val="20"/>
              </w:rPr>
            </w:pPr>
            <w:r>
              <w:rPr>
                <w:sz w:val="20"/>
              </w:rPr>
              <w:t>3,30</w:t>
            </w:r>
          </w:p>
        </w:tc>
        <w:tc>
          <w:tcPr>
            <w:tcW w:w="1006" w:type="dxa"/>
          </w:tcPr>
          <w:p w:rsidR="00C94252" w:rsidRDefault="00A33443">
            <w:pPr>
              <w:pStyle w:val="TableParagraph"/>
              <w:spacing w:before="41"/>
              <w:ind w:right="99"/>
              <w:jc w:val="right"/>
              <w:rPr>
                <w:sz w:val="20"/>
              </w:rPr>
            </w:pPr>
            <w:r>
              <w:rPr>
                <w:sz w:val="20"/>
              </w:rPr>
              <w:t>3,14</w:t>
            </w:r>
          </w:p>
        </w:tc>
        <w:tc>
          <w:tcPr>
            <w:tcW w:w="787" w:type="dxa"/>
          </w:tcPr>
          <w:p w:rsidR="00C94252" w:rsidRDefault="00A33443">
            <w:pPr>
              <w:pStyle w:val="TableParagraph"/>
              <w:spacing w:before="41"/>
              <w:ind w:right="99"/>
              <w:jc w:val="right"/>
              <w:rPr>
                <w:sz w:val="20"/>
              </w:rPr>
            </w:pPr>
            <w:r>
              <w:rPr>
                <w:sz w:val="20"/>
              </w:rPr>
              <w:t>0,331</w:t>
            </w:r>
          </w:p>
        </w:tc>
      </w:tr>
      <w:tr w:rsidR="00C94252">
        <w:trPr>
          <w:trHeight w:val="460"/>
        </w:trPr>
        <w:tc>
          <w:tcPr>
            <w:tcW w:w="562" w:type="dxa"/>
          </w:tcPr>
          <w:p w:rsidR="00C94252" w:rsidRDefault="00A33443">
            <w:pPr>
              <w:pStyle w:val="TableParagraph"/>
              <w:spacing w:before="110"/>
              <w:ind w:left="12"/>
              <w:jc w:val="center"/>
              <w:rPr>
                <w:sz w:val="20"/>
              </w:rPr>
            </w:pPr>
            <w:r>
              <w:rPr>
                <w:w w:val="99"/>
                <w:sz w:val="20"/>
              </w:rPr>
              <w:t>3</w:t>
            </w:r>
          </w:p>
        </w:tc>
        <w:tc>
          <w:tcPr>
            <w:tcW w:w="2022" w:type="dxa"/>
          </w:tcPr>
          <w:p w:rsidR="00C94252" w:rsidRDefault="00A33443">
            <w:pPr>
              <w:pStyle w:val="TableParagraph"/>
              <w:spacing w:line="230" w:lineRule="atLeast"/>
              <w:ind w:left="109" w:right="511"/>
              <w:rPr>
                <w:b/>
                <w:sz w:val="20"/>
              </w:rPr>
            </w:pPr>
            <w:r>
              <w:rPr>
                <w:b/>
                <w:sz w:val="20"/>
              </w:rPr>
              <w:t>**Local interest groups</w:t>
            </w:r>
          </w:p>
        </w:tc>
        <w:tc>
          <w:tcPr>
            <w:tcW w:w="915" w:type="dxa"/>
          </w:tcPr>
          <w:p w:rsidR="00C94252" w:rsidRDefault="00A33443">
            <w:pPr>
              <w:pStyle w:val="TableParagraph"/>
              <w:spacing w:before="110"/>
              <w:ind w:right="93"/>
              <w:jc w:val="right"/>
              <w:rPr>
                <w:sz w:val="20"/>
              </w:rPr>
            </w:pPr>
            <w:r>
              <w:rPr>
                <w:sz w:val="20"/>
              </w:rPr>
              <w:t>67</w:t>
            </w:r>
          </w:p>
        </w:tc>
        <w:tc>
          <w:tcPr>
            <w:tcW w:w="783" w:type="dxa"/>
            <w:tcBorders>
              <w:right w:val="single" w:sz="8" w:space="0" w:color="000000"/>
            </w:tcBorders>
          </w:tcPr>
          <w:p w:rsidR="00C94252" w:rsidRDefault="00A33443">
            <w:pPr>
              <w:pStyle w:val="TableParagraph"/>
              <w:spacing w:before="110"/>
              <w:ind w:right="90"/>
              <w:jc w:val="right"/>
              <w:rPr>
                <w:sz w:val="20"/>
              </w:rPr>
            </w:pPr>
            <w:r>
              <w:rPr>
                <w:sz w:val="20"/>
              </w:rPr>
              <w:t>3,16</w:t>
            </w:r>
          </w:p>
        </w:tc>
        <w:tc>
          <w:tcPr>
            <w:tcW w:w="978" w:type="dxa"/>
            <w:tcBorders>
              <w:left w:val="single" w:sz="8" w:space="0" w:color="000000"/>
            </w:tcBorders>
          </w:tcPr>
          <w:p w:rsidR="00C94252" w:rsidRDefault="00A33443">
            <w:pPr>
              <w:pStyle w:val="TableParagraph"/>
              <w:spacing w:before="110"/>
              <w:ind w:right="96"/>
              <w:jc w:val="right"/>
              <w:rPr>
                <w:sz w:val="20"/>
              </w:rPr>
            </w:pPr>
            <w:r>
              <w:rPr>
                <w:sz w:val="20"/>
              </w:rPr>
              <w:t>2,77</w:t>
            </w:r>
          </w:p>
        </w:tc>
        <w:tc>
          <w:tcPr>
            <w:tcW w:w="891" w:type="dxa"/>
          </w:tcPr>
          <w:p w:rsidR="00C94252" w:rsidRDefault="00A33443">
            <w:pPr>
              <w:pStyle w:val="TableParagraph"/>
              <w:spacing w:before="110"/>
              <w:ind w:right="99"/>
              <w:jc w:val="right"/>
              <w:rPr>
                <w:sz w:val="20"/>
              </w:rPr>
            </w:pPr>
            <w:r>
              <w:rPr>
                <w:sz w:val="20"/>
              </w:rPr>
              <w:t>3,45</w:t>
            </w:r>
          </w:p>
        </w:tc>
        <w:tc>
          <w:tcPr>
            <w:tcW w:w="1049" w:type="dxa"/>
          </w:tcPr>
          <w:p w:rsidR="00C94252" w:rsidRDefault="00A33443">
            <w:pPr>
              <w:pStyle w:val="TableParagraph"/>
              <w:spacing w:before="110"/>
              <w:ind w:right="99"/>
              <w:jc w:val="right"/>
              <w:rPr>
                <w:sz w:val="20"/>
              </w:rPr>
            </w:pPr>
            <w:r>
              <w:rPr>
                <w:sz w:val="20"/>
              </w:rPr>
              <w:t>3,26</w:t>
            </w:r>
          </w:p>
        </w:tc>
        <w:tc>
          <w:tcPr>
            <w:tcW w:w="1006" w:type="dxa"/>
          </w:tcPr>
          <w:p w:rsidR="00C94252" w:rsidRDefault="00A33443">
            <w:pPr>
              <w:pStyle w:val="TableParagraph"/>
              <w:spacing w:before="110"/>
              <w:ind w:right="99"/>
              <w:jc w:val="right"/>
              <w:rPr>
                <w:sz w:val="20"/>
              </w:rPr>
            </w:pPr>
            <w:r>
              <w:rPr>
                <w:sz w:val="20"/>
              </w:rPr>
              <w:t>2,71</w:t>
            </w:r>
          </w:p>
        </w:tc>
        <w:tc>
          <w:tcPr>
            <w:tcW w:w="787" w:type="dxa"/>
          </w:tcPr>
          <w:p w:rsidR="00C94252" w:rsidRDefault="00A33443">
            <w:pPr>
              <w:pStyle w:val="TableParagraph"/>
              <w:spacing w:before="115"/>
              <w:ind w:right="120"/>
              <w:jc w:val="right"/>
              <w:rPr>
                <w:b/>
                <w:sz w:val="20"/>
              </w:rPr>
            </w:pPr>
            <w:r>
              <w:rPr>
                <w:b/>
                <w:w w:val="95"/>
                <w:sz w:val="20"/>
              </w:rPr>
              <w:t>0,020</w:t>
            </w:r>
          </w:p>
        </w:tc>
      </w:tr>
      <w:tr w:rsidR="00C94252">
        <w:trPr>
          <w:trHeight w:val="321"/>
        </w:trPr>
        <w:tc>
          <w:tcPr>
            <w:tcW w:w="562" w:type="dxa"/>
          </w:tcPr>
          <w:p w:rsidR="00C94252" w:rsidRDefault="00A33443">
            <w:pPr>
              <w:pStyle w:val="TableParagraph"/>
              <w:spacing w:before="41"/>
              <w:ind w:left="12"/>
              <w:jc w:val="center"/>
              <w:rPr>
                <w:sz w:val="20"/>
              </w:rPr>
            </w:pPr>
            <w:r>
              <w:rPr>
                <w:w w:val="99"/>
                <w:sz w:val="20"/>
              </w:rPr>
              <w:t>4</w:t>
            </w:r>
          </w:p>
        </w:tc>
        <w:tc>
          <w:tcPr>
            <w:tcW w:w="2022" w:type="dxa"/>
          </w:tcPr>
          <w:p w:rsidR="00C94252" w:rsidRDefault="00A33443">
            <w:pPr>
              <w:pStyle w:val="TableParagraph"/>
              <w:spacing w:before="41"/>
              <w:ind w:left="109"/>
              <w:rPr>
                <w:sz w:val="20"/>
              </w:rPr>
            </w:pPr>
            <w:r>
              <w:rPr>
                <w:sz w:val="20"/>
              </w:rPr>
              <w:t>Local/regional NGOs</w:t>
            </w:r>
          </w:p>
        </w:tc>
        <w:tc>
          <w:tcPr>
            <w:tcW w:w="915" w:type="dxa"/>
          </w:tcPr>
          <w:p w:rsidR="00C94252" w:rsidRDefault="00A33443">
            <w:pPr>
              <w:pStyle w:val="TableParagraph"/>
              <w:spacing w:before="41"/>
              <w:ind w:right="93"/>
              <w:jc w:val="right"/>
              <w:rPr>
                <w:sz w:val="20"/>
              </w:rPr>
            </w:pPr>
            <w:r>
              <w:rPr>
                <w:sz w:val="20"/>
              </w:rPr>
              <w:t>66</w:t>
            </w:r>
          </w:p>
        </w:tc>
        <w:tc>
          <w:tcPr>
            <w:tcW w:w="783" w:type="dxa"/>
            <w:tcBorders>
              <w:right w:val="single" w:sz="8" w:space="0" w:color="000000"/>
            </w:tcBorders>
          </w:tcPr>
          <w:p w:rsidR="00C94252" w:rsidRDefault="00A33443">
            <w:pPr>
              <w:pStyle w:val="TableParagraph"/>
              <w:spacing w:before="41"/>
              <w:ind w:right="90"/>
              <w:jc w:val="right"/>
              <w:rPr>
                <w:sz w:val="20"/>
              </w:rPr>
            </w:pPr>
            <w:r>
              <w:rPr>
                <w:sz w:val="20"/>
              </w:rPr>
              <w:t>2,91</w:t>
            </w:r>
          </w:p>
        </w:tc>
        <w:tc>
          <w:tcPr>
            <w:tcW w:w="978" w:type="dxa"/>
            <w:tcBorders>
              <w:left w:val="single" w:sz="8" w:space="0" w:color="000000"/>
            </w:tcBorders>
          </w:tcPr>
          <w:p w:rsidR="00C94252" w:rsidRDefault="00A33443">
            <w:pPr>
              <w:pStyle w:val="TableParagraph"/>
              <w:spacing w:before="41"/>
              <w:ind w:right="96"/>
              <w:jc w:val="right"/>
              <w:rPr>
                <w:sz w:val="20"/>
              </w:rPr>
            </w:pPr>
            <w:r>
              <w:rPr>
                <w:sz w:val="20"/>
              </w:rPr>
              <w:t>2,62</w:t>
            </w:r>
          </w:p>
        </w:tc>
        <w:tc>
          <w:tcPr>
            <w:tcW w:w="891" w:type="dxa"/>
          </w:tcPr>
          <w:p w:rsidR="00C94252" w:rsidRDefault="00A33443">
            <w:pPr>
              <w:pStyle w:val="TableParagraph"/>
              <w:spacing w:before="41"/>
              <w:ind w:right="99"/>
              <w:jc w:val="right"/>
              <w:rPr>
                <w:sz w:val="20"/>
              </w:rPr>
            </w:pPr>
            <w:r>
              <w:rPr>
                <w:sz w:val="20"/>
              </w:rPr>
              <w:t>3,16</w:t>
            </w:r>
          </w:p>
        </w:tc>
        <w:tc>
          <w:tcPr>
            <w:tcW w:w="1049" w:type="dxa"/>
          </w:tcPr>
          <w:p w:rsidR="00C94252" w:rsidRDefault="00A33443">
            <w:pPr>
              <w:pStyle w:val="TableParagraph"/>
              <w:spacing w:before="41"/>
              <w:ind w:right="99"/>
              <w:jc w:val="right"/>
              <w:rPr>
                <w:sz w:val="20"/>
              </w:rPr>
            </w:pPr>
            <w:r>
              <w:rPr>
                <w:sz w:val="20"/>
              </w:rPr>
              <w:t>2,89</w:t>
            </w:r>
          </w:p>
        </w:tc>
        <w:tc>
          <w:tcPr>
            <w:tcW w:w="1006" w:type="dxa"/>
          </w:tcPr>
          <w:p w:rsidR="00C94252" w:rsidRDefault="00A33443">
            <w:pPr>
              <w:pStyle w:val="TableParagraph"/>
              <w:spacing w:before="41"/>
              <w:ind w:right="99"/>
              <w:jc w:val="right"/>
              <w:rPr>
                <w:sz w:val="20"/>
              </w:rPr>
            </w:pPr>
            <w:r>
              <w:rPr>
                <w:sz w:val="20"/>
              </w:rPr>
              <w:t>2,86</w:t>
            </w:r>
          </w:p>
        </w:tc>
        <w:tc>
          <w:tcPr>
            <w:tcW w:w="787" w:type="dxa"/>
          </w:tcPr>
          <w:p w:rsidR="00C94252" w:rsidRDefault="00A33443">
            <w:pPr>
              <w:pStyle w:val="TableParagraph"/>
              <w:spacing w:before="41"/>
              <w:ind w:right="99"/>
              <w:jc w:val="right"/>
              <w:rPr>
                <w:sz w:val="20"/>
              </w:rPr>
            </w:pPr>
            <w:r>
              <w:rPr>
                <w:sz w:val="20"/>
              </w:rPr>
              <w:t>0,236</w:t>
            </w:r>
          </w:p>
        </w:tc>
      </w:tr>
      <w:tr w:rsidR="00C94252">
        <w:trPr>
          <w:trHeight w:val="340"/>
        </w:trPr>
        <w:tc>
          <w:tcPr>
            <w:tcW w:w="562" w:type="dxa"/>
          </w:tcPr>
          <w:p w:rsidR="00C94252" w:rsidRDefault="00A33443">
            <w:pPr>
              <w:pStyle w:val="TableParagraph"/>
              <w:spacing w:before="50"/>
              <w:ind w:left="12"/>
              <w:jc w:val="center"/>
              <w:rPr>
                <w:sz w:val="20"/>
              </w:rPr>
            </w:pPr>
            <w:r>
              <w:rPr>
                <w:w w:val="99"/>
                <w:sz w:val="20"/>
              </w:rPr>
              <w:t>5</w:t>
            </w:r>
          </w:p>
        </w:tc>
        <w:tc>
          <w:tcPr>
            <w:tcW w:w="2022" w:type="dxa"/>
          </w:tcPr>
          <w:p w:rsidR="00C94252" w:rsidRDefault="00A33443">
            <w:pPr>
              <w:pStyle w:val="TableParagraph"/>
              <w:spacing w:before="55"/>
              <w:ind w:left="109"/>
              <w:rPr>
                <w:b/>
                <w:sz w:val="20"/>
              </w:rPr>
            </w:pPr>
            <w:r>
              <w:rPr>
                <w:b/>
                <w:sz w:val="20"/>
              </w:rPr>
              <w:t>*Wider local public</w:t>
            </w:r>
          </w:p>
        </w:tc>
        <w:tc>
          <w:tcPr>
            <w:tcW w:w="915" w:type="dxa"/>
          </w:tcPr>
          <w:p w:rsidR="00C94252" w:rsidRDefault="00A33443">
            <w:pPr>
              <w:pStyle w:val="TableParagraph"/>
              <w:spacing w:before="50"/>
              <w:ind w:right="93"/>
              <w:jc w:val="right"/>
              <w:rPr>
                <w:sz w:val="20"/>
              </w:rPr>
            </w:pPr>
            <w:r>
              <w:rPr>
                <w:sz w:val="20"/>
              </w:rPr>
              <w:t>68</w:t>
            </w:r>
          </w:p>
        </w:tc>
        <w:tc>
          <w:tcPr>
            <w:tcW w:w="783" w:type="dxa"/>
          </w:tcPr>
          <w:p w:rsidR="00C94252" w:rsidRDefault="00A33443">
            <w:pPr>
              <w:pStyle w:val="TableParagraph"/>
              <w:spacing w:before="50"/>
              <w:ind w:right="95"/>
              <w:jc w:val="right"/>
              <w:rPr>
                <w:sz w:val="20"/>
              </w:rPr>
            </w:pPr>
            <w:r>
              <w:rPr>
                <w:sz w:val="20"/>
              </w:rPr>
              <w:t>2,51</w:t>
            </w:r>
          </w:p>
        </w:tc>
        <w:tc>
          <w:tcPr>
            <w:tcW w:w="978" w:type="dxa"/>
          </w:tcPr>
          <w:p w:rsidR="00C94252" w:rsidRDefault="00A33443">
            <w:pPr>
              <w:pStyle w:val="TableParagraph"/>
              <w:spacing w:before="50"/>
              <w:ind w:right="96"/>
              <w:jc w:val="right"/>
              <w:rPr>
                <w:sz w:val="20"/>
              </w:rPr>
            </w:pPr>
            <w:r>
              <w:rPr>
                <w:sz w:val="20"/>
              </w:rPr>
              <w:t>2,54</w:t>
            </w:r>
          </w:p>
        </w:tc>
        <w:tc>
          <w:tcPr>
            <w:tcW w:w="891" w:type="dxa"/>
          </w:tcPr>
          <w:p w:rsidR="00C94252" w:rsidRDefault="00A33443">
            <w:pPr>
              <w:pStyle w:val="TableParagraph"/>
              <w:spacing w:before="50"/>
              <w:ind w:right="99"/>
              <w:jc w:val="right"/>
              <w:rPr>
                <w:sz w:val="20"/>
              </w:rPr>
            </w:pPr>
            <w:r>
              <w:rPr>
                <w:sz w:val="20"/>
              </w:rPr>
              <w:t>2,95</w:t>
            </w:r>
          </w:p>
        </w:tc>
        <w:tc>
          <w:tcPr>
            <w:tcW w:w="1049" w:type="dxa"/>
          </w:tcPr>
          <w:p w:rsidR="00C94252" w:rsidRDefault="00A33443">
            <w:pPr>
              <w:pStyle w:val="TableParagraph"/>
              <w:spacing w:before="50"/>
              <w:ind w:right="99"/>
              <w:jc w:val="right"/>
              <w:rPr>
                <w:sz w:val="20"/>
              </w:rPr>
            </w:pPr>
            <w:r>
              <w:rPr>
                <w:sz w:val="20"/>
              </w:rPr>
              <w:t>2,25</w:t>
            </w:r>
          </w:p>
        </w:tc>
        <w:tc>
          <w:tcPr>
            <w:tcW w:w="1006" w:type="dxa"/>
          </w:tcPr>
          <w:p w:rsidR="00C94252" w:rsidRDefault="00A33443">
            <w:pPr>
              <w:pStyle w:val="TableParagraph"/>
              <w:spacing w:before="50"/>
              <w:ind w:right="99"/>
              <w:jc w:val="right"/>
              <w:rPr>
                <w:sz w:val="20"/>
              </w:rPr>
            </w:pPr>
            <w:r>
              <w:rPr>
                <w:sz w:val="20"/>
              </w:rPr>
              <w:t>2,29</w:t>
            </w:r>
          </w:p>
        </w:tc>
        <w:tc>
          <w:tcPr>
            <w:tcW w:w="787" w:type="dxa"/>
          </w:tcPr>
          <w:p w:rsidR="00C94252" w:rsidRDefault="00A33443">
            <w:pPr>
              <w:pStyle w:val="TableParagraph"/>
              <w:spacing w:before="55"/>
              <w:ind w:right="99"/>
              <w:jc w:val="right"/>
              <w:rPr>
                <w:b/>
                <w:sz w:val="20"/>
              </w:rPr>
            </w:pPr>
            <w:r>
              <w:rPr>
                <w:b/>
                <w:sz w:val="20"/>
              </w:rPr>
              <w:t>0,055</w:t>
            </w:r>
          </w:p>
        </w:tc>
      </w:tr>
    </w:tbl>
    <w:p w:rsidR="00C94252" w:rsidRDefault="00C94252">
      <w:pPr>
        <w:pStyle w:val="Brdtekst"/>
        <w:spacing w:before="6"/>
        <w:rPr>
          <w:sz w:val="23"/>
        </w:rPr>
      </w:pPr>
    </w:p>
    <w:p w:rsidR="00C94252" w:rsidRDefault="00A33443">
      <w:pPr>
        <w:pStyle w:val="Brdtekst"/>
        <w:spacing w:after="6"/>
        <w:ind w:left="116" w:right="171"/>
      </w:pPr>
      <w:r>
        <w:rPr>
          <w:b/>
        </w:rPr>
        <w:t>Table</w:t>
      </w:r>
      <w:r>
        <w:rPr>
          <w:b/>
          <w:spacing w:val="-12"/>
        </w:rPr>
        <w:t xml:space="preserve"> </w:t>
      </w:r>
      <w:r>
        <w:rPr>
          <w:b/>
        </w:rPr>
        <w:t>B.4</w:t>
      </w:r>
      <w:r>
        <w:t>.</w:t>
      </w:r>
      <w:r>
        <w:rPr>
          <w:spacing w:val="-13"/>
        </w:rPr>
        <w:t xml:space="preserve"> </w:t>
      </w:r>
      <w:r>
        <w:t>Regional</w:t>
      </w:r>
      <w:r>
        <w:rPr>
          <w:spacing w:val="-11"/>
        </w:rPr>
        <w:t xml:space="preserve"> </w:t>
      </w:r>
      <w:r>
        <w:t>differences</w:t>
      </w:r>
      <w:r>
        <w:rPr>
          <w:spacing w:val="-10"/>
        </w:rPr>
        <w:t xml:space="preserve"> </w:t>
      </w:r>
      <w:r>
        <w:t>in</w:t>
      </w:r>
      <w:r>
        <w:rPr>
          <w:spacing w:val="-11"/>
        </w:rPr>
        <w:t xml:space="preserve"> </w:t>
      </w:r>
      <w:r>
        <w:t>perceived</w:t>
      </w:r>
      <w:r>
        <w:rPr>
          <w:spacing w:val="-11"/>
        </w:rPr>
        <w:t xml:space="preserve"> </w:t>
      </w:r>
      <w:r>
        <w:t>importance</w:t>
      </w:r>
      <w:r>
        <w:rPr>
          <w:spacing w:val="-12"/>
        </w:rPr>
        <w:t xml:space="preserve"> </w:t>
      </w:r>
      <w:r>
        <w:t>of</w:t>
      </w:r>
      <w:r>
        <w:rPr>
          <w:spacing w:val="-12"/>
        </w:rPr>
        <w:t xml:space="preserve"> </w:t>
      </w:r>
      <w:r>
        <w:t>contextual</w:t>
      </w:r>
      <w:r>
        <w:rPr>
          <w:spacing w:val="-11"/>
        </w:rPr>
        <w:t xml:space="preserve"> </w:t>
      </w:r>
      <w:r>
        <w:t>aspects</w:t>
      </w:r>
      <w:r>
        <w:rPr>
          <w:spacing w:val="-11"/>
        </w:rPr>
        <w:t xml:space="preserve"> </w:t>
      </w:r>
      <w:r>
        <w:t>in</w:t>
      </w:r>
      <w:r>
        <w:rPr>
          <w:spacing w:val="-13"/>
        </w:rPr>
        <w:t xml:space="preserve"> </w:t>
      </w:r>
      <w:r>
        <w:t>WE</w:t>
      </w:r>
      <w:r>
        <w:rPr>
          <w:spacing w:val="-11"/>
        </w:rPr>
        <w:t xml:space="preserve"> </w:t>
      </w:r>
      <w:r>
        <w:t>planning. Significance level:</w:t>
      </w:r>
      <w:r>
        <w:rPr>
          <w:spacing w:val="-1"/>
        </w:rPr>
        <w:t xml:space="preserve"> </w:t>
      </w:r>
      <w:r>
        <w:t>**p&lt;0.05.</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711"/>
        <w:gridCol w:w="709"/>
        <w:gridCol w:w="993"/>
        <w:gridCol w:w="995"/>
        <w:gridCol w:w="1134"/>
        <w:gridCol w:w="955"/>
        <w:gridCol w:w="690"/>
      </w:tblGrid>
      <w:tr w:rsidR="00C94252">
        <w:trPr>
          <w:trHeight w:val="685"/>
        </w:trPr>
        <w:tc>
          <w:tcPr>
            <w:tcW w:w="562" w:type="dxa"/>
            <w:vMerge w:val="restart"/>
            <w:tcBorders>
              <w:bottom w:val="single" w:sz="6" w:space="0" w:color="000000"/>
            </w:tcBorders>
          </w:tcPr>
          <w:p w:rsidR="00C94252" w:rsidRDefault="00C94252">
            <w:pPr>
              <w:pStyle w:val="TableParagraph"/>
            </w:pPr>
          </w:p>
          <w:p w:rsidR="00C94252" w:rsidRDefault="00C94252">
            <w:pPr>
              <w:pStyle w:val="TableParagraph"/>
              <w:spacing w:before="1"/>
              <w:rPr>
                <w:sz w:val="28"/>
              </w:rPr>
            </w:pPr>
          </w:p>
          <w:p w:rsidR="00C94252" w:rsidRDefault="00A33443">
            <w:pPr>
              <w:pStyle w:val="TableParagraph"/>
              <w:ind w:left="141"/>
              <w:rPr>
                <w:i/>
                <w:sz w:val="20"/>
              </w:rPr>
            </w:pPr>
            <w:r>
              <w:rPr>
                <w:i/>
                <w:sz w:val="20"/>
              </w:rPr>
              <w:t>No.</w:t>
            </w:r>
          </w:p>
        </w:tc>
        <w:tc>
          <w:tcPr>
            <w:tcW w:w="2269" w:type="dxa"/>
            <w:vMerge w:val="restart"/>
            <w:tcBorders>
              <w:bottom w:val="single" w:sz="6" w:space="0" w:color="000000"/>
            </w:tcBorders>
          </w:tcPr>
          <w:p w:rsidR="00C94252" w:rsidRDefault="00C94252">
            <w:pPr>
              <w:pStyle w:val="TableParagraph"/>
            </w:pPr>
          </w:p>
          <w:p w:rsidR="00C94252" w:rsidRDefault="00C94252">
            <w:pPr>
              <w:pStyle w:val="TableParagraph"/>
              <w:spacing w:before="1"/>
              <w:rPr>
                <w:sz w:val="28"/>
              </w:rPr>
            </w:pPr>
          </w:p>
          <w:p w:rsidR="00C94252" w:rsidRDefault="00A33443">
            <w:pPr>
              <w:pStyle w:val="TableParagraph"/>
              <w:ind w:left="464"/>
              <w:rPr>
                <w:i/>
                <w:sz w:val="20"/>
              </w:rPr>
            </w:pPr>
            <w:r>
              <w:rPr>
                <w:i/>
                <w:sz w:val="20"/>
              </w:rPr>
              <w:t>Context variable</w:t>
            </w:r>
          </w:p>
        </w:tc>
        <w:tc>
          <w:tcPr>
            <w:tcW w:w="1420" w:type="dxa"/>
            <w:gridSpan w:val="2"/>
          </w:tcPr>
          <w:p w:rsidR="00C94252" w:rsidRDefault="00A33443">
            <w:pPr>
              <w:pStyle w:val="TableParagraph"/>
              <w:spacing w:line="237" w:lineRule="auto"/>
              <w:ind w:left="219" w:right="206" w:hanging="2"/>
              <w:jc w:val="center"/>
              <w:rPr>
                <w:i/>
                <w:sz w:val="20"/>
              </w:rPr>
            </w:pPr>
            <w:r>
              <w:rPr>
                <w:i/>
                <w:sz w:val="20"/>
              </w:rPr>
              <w:t>Summary statistics</w:t>
            </w:r>
            <w:r>
              <w:rPr>
                <w:i/>
                <w:spacing w:val="-3"/>
                <w:sz w:val="20"/>
              </w:rPr>
              <w:t xml:space="preserve"> </w:t>
            </w:r>
            <w:r>
              <w:rPr>
                <w:i/>
                <w:spacing w:val="-7"/>
                <w:sz w:val="20"/>
              </w:rPr>
              <w:t>for</w:t>
            </w:r>
          </w:p>
          <w:p w:rsidR="00C94252" w:rsidRDefault="00A33443">
            <w:pPr>
              <w:pStyle w:val="TableParagraph"/>
              <w:spacing w:line="212" w:lineRule="exact"/>
              <w:ind w:left="143" w:right="133"/>
              <w:jc w:val="center"/>
              <w:rPr>
                <w:i/>
                <w:sz w:val="20"/>
              </w:rPr>
            </w:pPr>
            <w:r>
              <w:rPr>
                <w:i/>
                <w:sz w:val="20"/>
              </w:rPr>
              <w:t>each</w:t>
            </w:r>
            <w:r>
              <w:rPr>
                <w:i/>
                <w:spacing w:val="-1"/>
                <w:sz w:val="20"/>
              </w:rPr>
              <w:t xml:space="preserve"> </w:t>
            </w:r>
            <w:r>
              <w:rPr>
                <w:i/>
                <w:sz w:val="20"/>
              </w:rPr>
              <w:t>variable</w:t>
            </w:r>
          </w:p>
        </w:tc>
        <w:tc>
          <w:tcPr>
            <w:tcW w:w="4767" w:type="dxa"/>
            <w:gridSpan w:val="5"/>
          </w:tcPr>
          <w:p w:rsidR="00C94252" w:rsidRDefault="00C94252">
            <w:pPr>
              <w:pStyle w:val="TableParagraph"/>
              <w:spacing w:before="5"/>
              <w:rPr>
                <w:sz w:val="19"/>
              </w:rPr>
            </w:pPr>
          </w:p>
          <w:p w:rsidR="00C94252" w:rsidRDefault="00A33443">
            <w:pPr>
              <w:pStyle w:val="TableParagraph"/>
              <w:ind w:left="957"/>
              <w:rPr>
                <w:i/>
                <w:sz w:val="20"/>
              </w:rPr>
            </w:pPr>
            <w:r>
              <w:rPr>
                <w:i/>
                <w:sz w:val="20"/>
              </w:rPr>
              <w:t>Regional differences: large regions</w:t>
            </w:r>
          </w:p>
        </w:tc>
      </w:tr>
      <w:tr w:rsidR="00C94252">
        <w:trPr>
          <w:trHeight w:val="692"/>
        </w:trPr>
        <w:tc>
          <w:tcPr>
            <w:tcW w:w="562" w:type="dxa"/>
            <w:vMerge/>
            <w:tcBorders>
              <w:top w:val="nil"/>
              <w:bottom w:val="single" w:sz="6" w:space="0" w:color="000000"/>
            </w:tcBorders>
          </w:tcPr>
          <w:p w:rsidR="00C94252" w:rsidRDefault="00C94252">
            <w:pPr>
              <w:rPr>
                <w:sz w:val="2"/>
                <w:szCs w:val="2"/>
              </w:rPr>
            </w:pPr>
          </w:p>
        </w:tc>
        <w:tc>
          <w:tcPr>
            <w:tcW w:w="2269" w:type="dxa"/>
            <w:vMerge/>
            <w:tcBorders>
              <w:top w:val="nil"/>
              <w:bottom w:val="single" w:sz="6" w:space="0" w:color="000000"/>
            </w:tcBorders>
          </w:tcPr>
          <w:p w:rsidR="00C94252" w:rsidRDefault="00C94252">
            <w:pPr>
              <w:rPr>
                <w:sz w:val="2"/>
                <w:szCs w:val="2"/>
              </w:rPr>
            </w:pPr>
          </w:p>
        </w:tc>
        <w:tc>
          <w:tcPr>
            <w:tcW w:w="711" w:type="dxa"/>
            <w:tcBorders>
              <w:bottom w:val="single" w:sz="6" w:space="0" w:color="000000"/>
            </w:tcBorders>
          </w:tcPr>
          <w:p w:rsidR="00C94252" w:rsidRDefault="00A33443">
            <w:pPr>
              <w:pStyle w:val="TableParagraph"/>
              <w:spacing w:before="113"/>
              <w:ind w:left="10"/>
              <w:jc w:val="center"/>
              <w:rPr>
                <w:i/>
                <w:sz w:val="20"/>
              </w:rPr>
            </w:pPr>
            <w:r>
              <w:rPr>
                <w:i/>
                <w:w w:val="99"/>
                <w:sz w:val="20"/>
              </w:rPr>
              <w:t>N</w:t>
            </w:r>
          </w:p>
          <w:p w:rsidR="00C94252" w:rsidRDefault="00A33443">
            <w:pPr>
              <w:pStyle w:val="TableParagraph"/>
              <w:ind w:left="117" w:right="109"/>
              <w:jc w:val="center"/>
              <w:rPr>
                <w:i/>
                <w:sz w:val="20"/>
              </w:rPr>
            </w:pPr>
            <w:r>
              <w:rPr>
                <w:i/>
                <w:sz w:val="20"/>
              </w:rPr>
              <w:t>Valid</w:t>
            </w:r>
          </w:p>
        </w:tc>
        <w:tc>
          <w:tcPr>
            <w:tcW w:w="709" w:type="dxa"/>
            <w:tcBorders>
              <w:bottom w:val="single" w:sz="6" w:space="0" w:color="000000"/>
            </w:tcBorders>
          </w:tcPr>
          <w:p w:rsidR="00C94252" w:rsidRDefault="00C94252">
            <w:pPr>
              <w:pStyle w:val="TableParagraph"/>
              <w:spacing w:before="9"/>
              <w:rPr>
                <w:sz w:val="19"/>
              </w:rPr>
            </w:pPr>
          </w:p>
          <w:p w:rsidR="00C94252" w:rsidRDefault="00A33443">
            <w:pPr>
              <w:pStyle w:val="TableParagraph"/>
              <w:ind w:right="119"/>
              <w:jc w:val="right"/>
              <w:rPr>
                <w:i/>
                <w:sz w:val="20"/>
              </w:rPr>
            </w:pPr>
            <w:r>
              <w:rPr>
                <w:i/>
                <w:w w:val="95"/>
                <w:sz w:val="20"/>
              </w:rPr>
              <w:t>Mean</w:t>
            </w:r>
          </w:p>
        </w:tc>
        <w:tc>
          <w:tcPr>
            <w:tcW w:w="993" w:type="dxa"/>
            <w:tcBorders>
              <w:bottom w:val="single" w:sz="6" w:space="0" w:color="000000"/>
            </w:tcBorders>
          </w:tcPr>
          <w:p w:rsidR="00C94252" w:rsidRDefault="00A33443">
            <w:pPr>
              <w:pStyle w:val="TableParagraph"/>
              <w:spacing w:before="113"/>
              <w:ind w:left="198" w:hanging="72"/>
              <w:rPr>
                <w:i/>
                <w:sz w:val="20"/>
              </w:rPr>
            </w:pPr>
            <w:r>
              <w:rPr>
                <w:i/>
                <w:w w:val="95"/>
                <w:sz w:val="20"/>
              </w:rPr>
              <w:t xml:space="preserve">Northern </w:t>
            </w:r>
            <w:r>
              <w:rPr>
                <w:i/>
                <w:sz w:val="20"/>
              </w:rPr>
              <w:t>Europe</w:t>
            </w:r>
          </w:p>
        </w:tc>
        <w:tc>
          <w:tcPr>
            <w:tcW w:w="995" w:type="dxa"/>
            <w:tcBorders>
              <w:bottom w:val="single" w:sz="6" w:space="0" w:color="000000"/>
            </w:tcBorders>
          </w:tcPr>
          <w:p w:rsidR="00C94252" w:rsidRDefault="00A33443">
            <w:pPr>
              <w:pStyle w:val="TableParagraph"/>
              <w:spacing w:before="113"/>
              <w:ind w:left="199" w:hanging="34"/>
              <w:rPr>
                <w:i/>
                <w:sz w:val="20"/>
              </w:rPr>
            </w:pPr>
            <w:r>
              <w:rPr>
                <w:i/>
                <w:w w:val="95"/>
                <w:sz w:val="20"/>
              </w:rPr>
              <w:t xml:space="preserve">Western </w:t>
            </w:r>
            <w:r>
              <w:rPr>
                <w:i/>
                <w:sz w:val="20"/>
              </w:rPr>
              <w:t>Europe</w:t>
            </w:r>
          </w:p>
        </w:tc>
        <w:tc>
          <w:tcPr>
            <w:tcW w:w="1134" w:type="dxa"/>
            <w:tcBorders>
              <w:bottom w:val="single" w:sz="6" w:space="0" w:color="000000"/>
            </w:tcBorders>
          </w:tcPr>
          <w:p w:rsidR="00C94252" w:rsidRDefault="00A33443">
            <w:pPr>
              <w:pStyle w:val="TableParagraph"/>
              <w:spacing w:line="230" w:lineRule="exact"/>
              <w:ind w:left="248" w:right="135" w:hanging="96"/>
              <w:rPr>
                <w:i/>
                <w:sz w:val="20"/>
              </w:rPr>
            </w:pPr>
            <w:r>
              <w:rPr>
                <w:i/>
                <w:sz w:val="20"/>
              </w:rPr>
              <w:t>Central &amp; Eastern Europe</w:t>
            </w:r>
          </w:p>
        </w:tc>
        <w:tc>
          <w:tcPr>
            <w:tcW w:w="955" w:type="dxa"/>
            <w:tcBorders>
              <w:bottom w:val="single" w:sz="6" w:space="0" w:color="000000"/>
            </w:tcBorders>
          </w:tcPr>
          <w:p w:rsidR="00C94252" w:rsidRDefault="00A33443">
            <w:pPr>
              <w:pStyle w:val="TableParagraph"/>
              <w:spacing w:before="113"/>
              <w:ind w:left="175" w:right="95" w:hanging="68"/>
              <w:rPr>
                <w:i/>
                <w:sz w:val="20"/>
              </w:rPr>
            </w:pPr>
            <w:r>
              <w:rPr>
                <w:i/>
                <w:sz w:val="20"/>
              </w:rPr>
              <w:t>Southern Europe</w:t>
            </w:r>
          </w:p>
        </w:tc>
        <w:tc>
          <w:tcPr>
            <w:tcW w:w="690" w:type="dxa"/>
            <w:tcBorders>
              <w:bottom w:val="single" w:sz="6" w:space="0" w:color="000000"/>
            </w:tcBorders>
          </w:tcPr>
          <w:p w:rsidR="00C94252" w:rsidRDefault="00C94252">
            <w:pPr>
              <w:pStyle w:val="TableParagraph"/>
              <w:spacing w:before="9"/>
              <w:rPr>
                <w:sz w:val="19"/>
              </w:rPr>
            </w:pPr>
          </w:p>
          <w:p w:rsidR="00C94252" w:rsidRDefault="00A33443">
            <w:pPr>
              <w:pStyle w:val="TableParagraph"/>
              <w:ind w:right="9"/>
              <w:jc w:val="center"/>
              <w:rPr>
                <w:i/>
                <w:sz w:val="20"/>
              </w:rPr>
            </w:pPr>
            <w:r>
              <w:rPr>
                <w:i/>
                <w:w w:val="99"/>
                <w:sz w:val="20"/>
              </w:rPr>
              <w:t>p</w:t>
            </w:r>
          </w:p>
        </w:tc>
      </w:tr>
      <w:tr w:rsidR="00C94252">
        <w:trPr>
          <w:trHeight w:val="280"/>
        </w:trPr>
        <w:tc>
          <w:tcPr>
            <w:tcW w:w="2831" w:type="dxa"/>
            <w:gridSpan w:val="2"/>
            <w:tcBorders>
              <w:top w:val="single" w:sz="6" w:space="0" w:color="000000"/>
              <w:bottom w:val="single" w:sz="6" w:space="0" w:color="000000"/>
            </w:tcBorders>
          </w:tcPr>
          <w:p w:rsidR="00C94252" w:rsidRDefault="00A33443">
            <w:pPr>
              <w:pStyle w:val="TableParagraph"/>
              <w:spacing w:before="45" w:line="214" w:lineRule="exact"/>
              <w:ind w:left="875"/>
              <w:rPr>
                <w:sz w:val="20"/>
              </w:rPr>
            </w:pPr>
            <w:r>
              <w:rPr>
                <w:sz w:val="20"/>
              </w:rPr>
              <w:t>Overall mean</w:t>
            </w:r>
          </w:p>
        </w:tc>
        <w:tc>
          <w:tcPr>
            <w:tcW w:w="711" w:type="dxa"/>
            <w:tcBorders>
              <w:top w:val="single" w:sz="6" w:space="0" w:color="000000"/>
              <w:bottom w:val="single" w:sz="6" w:space="0" w:color="000000"/>
            </w:tcBorders>
          </w:tcPr>
          <w:p w:rsidR="00C94252" w:rsidRDefault="00A33443">
            <w:pPr>
              <w:pStyle w:val="TableParagraph"/>
              <w:spacing w:before="45" w:line="214" w:lineRule="exact"/>
              <w:ind w:right="98"/>
              <w:jc w:val="right"/>
              <w:rPr>
                <w:sz w:val="20"/>
              </w:rPr>
            </w:pPr>
            <w:r>
              <w:rPr>
                <w:w w:val="99"/>
                <w:sz w:val="20"/>
              </w:rPr>
              <w:t>-</w:t>
            </w:r>
          </w:p>
        </w:tc>
        <w:tc>
          <w:tcPr>
            <w:tcW w:w="709" w:type="dxa"/>
            <w:tcBorders>
              <w:top w:val="single" w:sz="6" w:space="0" w:color="000000"/>
              <w:bottom w:val="single" w:sz="6" w:space="0" w:color="000000"/>
            </w:tcBorders>
          </w:tcPr>
          <w:p w:rsidR="00C94252" w:rsidRDefault="00A33443">
            <w:pPr>
              <w:pStyle w:val="TableParagraph"/>
              <w:spacing w:before="45" w:line="214" w:lineRule="exact"/>
              <w:ind w:right="98"/>
              <w:jc w:val="right"/>
              <w:rPr>
                <w:sz w:val="20"/>
              </w:rPr>
            </w:pPr>
            <w:r>
              <w:rPr>
                <w:sz w:val="20"/>
              </w:rPr>
              <w:t>3,44</w:t>
            </w:r>
          </w:p>
        </w:tc>
        <w:tc>
          <w:tcPr>
            <w:tcW w:w="993" w:type="dxa"/>
            <w:tcBorders>
              <w:top w:val="single" w:sz="6" w:space="0" w:color="000000"/>
              <w:bottom w:val="single" w:sz="6" w:space="0" w:color="000000"/>
            </w:tcBorders>
          </w:tcPr>
          <w:p w:rsidR="00C94252" w:rsidRDefault="00A33443">
            <w:pPr>
              <w:pStyle w:val="TableParagraph"/>
              <w:spacing w:before="45" w:line="214" w:lineRule="exact"/>
              <w:ind w:left="530"/>
              <w:rPr>
                <w:sz w:val="20"/>
              </w:rPr>
            </w:pPr>
            <w:r>
              <w:rPr>
                <w:sz w:val="20"/>
              </w:rPr>
              <w:t>3,15</w:t>
            </w:r>
          </w:p>
        </w:tc>
        <w:tc>
          <w:tcPr>
            <w:tcW w:w="995" w:type="dxa"/>
            <w:tcBorders>
              <w:top w:val="single" w:sz="6" w:space="0" w:color="000000"/>
              <w:bottom w:val="single" w:sz="6" w:space="0" w:color="000000"/>
            </w:tcBorders>
          </w:tcPr>
          <w:p w:rsidR="00C94252" w:rsidRDefault="00A33443">
            <w:pPr>
              <w:pStyle w:val="TableParagraph"/>
              <w:spacing w:before="45" w:line="214" w:lineRule="exact"/>
              <w:ind w:left="531"/>
              <w:rPr>
                <w:sz w:val="20"/>
              </w:rPr>
            </w:pPr>
            <w:r>
              <w:rPr>
                <w:sz w:val="20"/>
              </w:rPr>
              <w:t>3,26</w:t>
            </w:r>
          </w:p>
        </w:tc>
        <w:tc>
          <w:tcPr>
            <w:tcW w:w="1134" w:type="dxa"/>
            <w:tcBorders>
              <w:top w:val="single" w:sz="6" w:space="0" w:color="000000"/>
              <w:bottom w:val="single" w:sz="6" w:space="0" w:color="000000"/>
            </w:tcBorders>
          </w:tcPr>
          <w:p w:rsidR="00C94252" w:rsidRDefault="00A33443">
            <w:pPr>
              <w:pStyle w:val="TableParagraph"/>
              <w:spacing w:before="45" w:line="214" w:lineRule="exact"/>
              <w:ind w:left="668"/>
              <w:rPr>
                <w:sz w:val="20"/>
              </w:rPr>
            </w:pPr>
            <w:r>
              <w:rPr>
                <w:sz w:val="20"/>
              </w:rPr>
              <w:t>3,69</w:t>
            </w:r>
          </w:p>
        </w:tc>
        <w:tc>
          <w:tcPr>
            <w:tcW w:w="955" w:type="dxa"/>
            <w:tcBorders>
              <w:top w:val="single" w:sz="6" w:space="0" w:color="000000"/>
              <w:bottom w:val="single" w:sz="6" w:space="0" w:color="000000"/>
            </w:tcBorders>
          </w:tcPr>
          <w:p w:rsidR="00C94252" w:rsidRDefault="00A33443">
            <w:pPr>
              <w:pStyle w:val="TableParagraph"/>
              <w:spacing w:before="45" w:line="214" w:lineRule="exact"/>
              <w:ind w:left="488"/>
              <w:rPr>
                <w:sz w:val="20"/>
              </w:rPr>
            </w:pPr>
            <w:r>
              <w:rPr>
                <w:sz w:val="20"/>
              </w:rPr>
              <w:t>3,47</w:t>
            </w:r>
          </w:p>
        </w:tc>
        <w:tc>
          <w:tcPr>
            <w:tcW w:w="690" w:type="dxa"/>
            <w:tcBorders>
              <w:top w:val="single" w:sz="6" w:space="0" w:color="000000"/>
              <w:bottom w:val="single" w:sz="6" w:space="0" w:color="000000"/>
            </w:tcBorders>
          </w:tcPr>
          <w:p w:rsidR="00C94252" w:rsidRDefault="00A33443">
            <w:pPr>
              <w:pStyle w:val="TableParagraph"/>
              <w:spacing w:before="19"/>
              <w:ind w:right="106"/>
              <w:jc w:val="right"/>
              <w:rPr>
                <w:i/>
                <w:sz w:val="20"/>
              </w:rPr>
            </w:pPr>
            <w:r>
              <w:rPr>
                <w:i/>
                <w:w w:val="99"/>
                <w:sz w:val="20"/>
              </w:rPr>
              <w:t>-</w:t>
            </w:r>
          </w:p>
        </w:tc>
      </w:tr>
    </w:tbl>
    <w:p w:rsidR="00C94252" w:rsidRDefault="00C94252">
      <w:pPr>
        <w:jc w:val="right"/>
        <w:rPr>
          <w:sz w:val="20"/>
        </w:rPr>
        <w:sectPr w:rsidR="00C94252">
          <w:pgSz w:w="11900" w:h="16850"/>
          <w:pgMar w:top="1420" w:right="1240" w:bottom="940" w:left="1300" w:header="0" w:footer="751"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711"/>
        <w:gridCol w:w="709"/>
        <w:gridCol w:w="993"/>
        <w:gridCol w:w="995"/>
        <w:gridCol w:w="1134"/>
        <w:gridCol w:w="955"/>
        <w:gridCol w:w="690"/>
      </w:tblGrid>
      <w:tr w:rsidR="00C94252">
        <w:trPr>
          <w:trHeight w:val="461"/>
        </w:trPr>
        <w:tc>
          <w:tcPr>
            <w:tcW w:w="562" w:type="dxa"/>
            <w:tcBorders>
              <w:top w:val="nil"/>
            </w:tcBorders>
          </w:tcPr>
          <w:p w:rsidR="00C94252" w:rsidRDefault="00A33443">
            <w:pPr>
              <w:pStyle w:val="TableParagraph"/>
              <w:spacing w:before="101"/>
              <w:ind w:left="12"/>
              <w:jc w:val="center"/>
              <w:rPr>
                <w:sz w:val="20"/>
              </w:rPr>
            </w:pPr>
            <w:r>
              <w:rPr>
                <w:w w:val="99"/>
                <w:sz w:val="20"/>
              </w:rPr>
              <w:t>1</w:t>
            </w:r>
          </w:p>
        </w:tc>
        <w:tc>
          <w:tcPr>
            <w:tcW w:w="2269" w:type="dxa"/>
            <w:tcBorders>
              <w:top w:val="nil"/>
              <w:right w:val="single" w:sz="8" w:space="0" w:color="000000"/>
            </w:tcBorders>
          </w:tcPr>
          <w:p w:rsidR="00C94252" w:rsidRDefault="00A33443">
            <w:pPr>
              <w:pStyle w:val="TableParagraph"/>
              <w:spacing w:line="216" w:lineRule="exact"/>
              <w:ind w:left="109"/>
              <w:rPr>
                <w:sz w:val="20"/>
              </w:rPr>
            </w:pPr>
            <w:r>
              <w:rPr>
                <w:sz w:val="20"/>
              </w:rPr>
              <w:t>Lack of motivated</w:t>
            </w:r>
          </w:p>
          <w:p w:rsidR="00C94252" w:rsidRDefault="00A33443">
            <w:pPr>
              <w:pStyle w:val="TableParagraph"/>
              <w:spacing w:line="225" w:lineRule="exact"/>
              <w:ind w:left="109"/>
              <w:rPr>
                <w:sz w:val="20"/>
              </w:rPr>
            </w:pPr>
            <w:r>
              <w:rPr>
                <w:sz w:val="20"/>
              </w:rPr>
              <w:t>initiators</w:t>
            </w:r>
          </w:p>
        </w:tc>
        <w:tc>
          <w:tcPr>
            <w:tcW w:w="711" w:type="dxa"/>
            <w:tcBorders>
              <w:top w:val="nil"/>
              <w:left w:val="single" w:sz="8" w:space="0" w:color="000000"/>
            </w:tcBorders>
          </w:tcPr>
          <w:p w:rsidR="00C94252" w:rsidRDefault="00C94252">
            <w:pPr>
              <w:pStyle w:val="TableParagraph"/>
              <w:spacing w:before="9"/>
              <w:rPr>
                <w:sz w:val="18"/>
              </w:rPr>
            </w:pPr>
          </w:p>
          <w:p w:rsidR="00C94252" w:rsidRDefault="00A33443">
            <w:pPr>
              <w:pStyle w:val="TableParagraph"/>
              <w:spacing w:line="225" w:lineRule="exact"/>
              <w:ind w:right="95"/>
              <w:jc w:val="right"/>
              <w:rPr>
                <w:sz w:val="20"/>
              </w:rPr>
            </w:pPr>
            <w:r>
              <w:rPr>
                <w:sz w:val="20"/>
              </w:rPr>
              <w:t>67</w:t>
            </w:r>
          </w:p>
        </w:tc>
        <w:tc>
          <w:tcPr>
            <w:tcW w:w="709" w:type="dxa"/>
            <w:tcBorders>
              <w:top w:val="nil"/>
              <w:right w:val="single" w:sz="8" w:space="0" w:color="000000"/>
            </w:tcBorders>
          </w:tcPr>
          <w:p w:rsidR="00C94252" w:rsidRDefault="00C94252">
            <w:pPr>
              <w:pStyle w:val="TableParagraph"/>
              <w:spacing w:before="9"/>
              <w:rPr>
                <w:sz w:val="18"/>
              </w:rPr>
            </w:pPr>
          </w:p>
          <w:p w:rsidR="00C94252" w:rsidRDefault="00A33443">
            <w:pPr>
              <w:pStyle w:val="TableParagraph"/>
              <w:spacing w:line="225" w:lineRule="exact"/>
              <w:ind w:right="93"/>
              <w:jc w:val="right"/>
              <w:rPr>
                <w:sz w:val="20"/>
              </w:rPr>
            </w:pPr>
            <w:r>
              <w:rPr>
                <w:sz w:val="20"/>
              </w:rPr>
              <w:t>3,30</w:t>
            </w:r>
          </w:p>
        </w:tc>
        <w:tc>
          <w:tcPr>
            <w:tcW w:w="993" w:type="dxa"/>
            <w:tcBorders>
              <w:top w:val="nil"/>
              <w:left w:val="single" w:sz="8" w:space="0" w:color="000000"/>
            </w:tcBorders>
          </w:tcPr>
          <w:p w:rsidR="00C94252" w:rsidRDefault="00C94252">
            <w:pPr>
              <w:pStyle w:val="TableParagraph"/>
              <w:spacing w:before="9"/>
              <w:rPr>
                <w:sz w:val="18"/>
              </w:rPr>
            </w:pPr>
          </w:p>
          <w:p w:rsidR="00C94252" w:rsidRDefault="00A33443">
            <w:pPr>
              <w:pStyle w:val="TableParagraph"/>
              <w:spacing w:line="225" w:lineRule="exact"/>
              <w:ind w:right="99"/>
              <w:jc w:val="right"/>
              <w:rPr>
                <w:sz w:val="20"/>
              </w:rPr>
            </w:pPr>
            <w:r>
              <w:rPr>
                <w:sz w:val="20"/>
              </w:rPr>
              <w:t>3,23</w:t>
            </w:r>
          </w:p>
        </w:tc>
        <w:tc>
          <w:tcPr>
            <w:tcW w:w="995" w:type="dxa"/>
            <w:tcBorders>
              <w:top w:val="nil"/>
            </w:tcBorders>
          </w:tcPr>
          <w:p w:rsidR="00C94252" w:rsidRDefault="00C94252">
            <w:pPr>
              <w:pStyle w:val="TableParagraph"/>
              <w:spacing w:before="9"/>
              <w:rPr>
                <w:sz w:val="18"/>
              </w:rPr>
            </w:pPr>
          </w:p>
          <w:p w:rsidR="00C94252" w:rsidRDefault="00A33443">
            <w:pPr>
              <w:pStyle w:val="TableParagraph"/>
              <w:spacing w:line="225" w:lineRule="exact"/>
              <w:ind w:right="100"/>
              <w:jc w:val="right"/>
              <w:rPr>
                <w:sz w:val="20"/>
              </w:rPr>
            </w:pPr>
            <w:r>
              <w:rPr>
                <w:sz w:val="20"/>
              </w:rPr>
              <w:t>2,94</w:t>
            </w:r>
          </w:p>
        </w:tc>
        <w:tc>
          <w:tcPr>
            <w:tcW w:w="1134" w:type="dxa"/>
            <w:tcBorders>
              <w:top w:val="nil"/>
            </w:tcBorders>
          </w:tcPr>
          <w:p w:rsidR="00C94252" w:rsidRDefault="00C94252">
            <w:pPr>
              <w:pStyle w:val="TableParagraph"/>
              <w:spacing w:before="9"/>
              <w:rPr>
                <w:sz w:val="18"/>
              </w:rPr>
            </w:pPr>
          </w:p>
          <w:p w:rsidR="00C94252" w:rsidRDefault="00A33443">
            <w:pPr>
              <w:pStyle w:val="TableParagraph"/>
              <w:spacing w:line="225" w:lineRule="exact"/>
              <w:ind w:right="102"/>
              <w:jc w:val="right"/>
              <w:rPr>
                <w:sz w:val="20"/>
              </w:rPr>
            </w:pPr>
            <w:r>
              <w:rPr>
                <w:sz w:val="20"/>
              </w:rPr>
              <w:t>3,56</w:t>
            </w:r>
          </w:p>
        </w:tc>
        <w:tc>
          <w:tcPr>
            <w:tcW w:w="955" w:type="dxa"/>
            <w:tcBorders>
              <w:top w:val="nil"/>
            </w:tcBorders>
          </w:tcPr>
          <w:p w:rsidR="00C94252" w:rsidRDefault="00C94252">
            <w:pPr>
              <w:pStyle w:val="TableParagraph"/>
              <w:spacing w:before="9"/>
              <w:rPr>
                <w:sz w:val="18"/>
              </w:rPr>
            </w:pPr>
          </w:p>
          <w:p w:rsidR="00C94252" w:rsidRDefault="00A33443">
            <w:pPr>
              <w:pStyle w:val="TableParagraph"/>
              <w:spacing w:line="225" w:lineRule="exact"/>
              <w:ind w:right="103"/>
              <w:jc w:val="right"/>
              <w:rPr>
                <w:sz w:val="20"/>
              </w:rPr>
            </w:pPr>
            <w:r>
              <w:rPr>
                <w:sz w:val="20"/>
              </w:rPr>
              <w:t>3,33</w:t>
            </w:r>
          </w:p>
        </w:tc>
        <w:tc>
          <w:tcPr>
            <w:tcW w:w="690" w:type="dxa"/>
            <w:tcBorders>
              <w:top w:val="nil"/>
            </w:tcBorders>
          </w:tcPr>
          <w:p w:rsidR="00C94252" w:rsidRDefault="00C94252">
            <w:pPr>
              <w:pStyle w:val="TableParagraph"/>
              <w:spacing w:before="9"/>
              <w:rPr>
                <w:sz w:val="18"/>
              </w:rPr>
            </w:pPr>
          </w:p>
          <w:p w:rsidR="00C94252" w:rsidRDefault="00A33443">
            <w:pPr>
              <w:pStyle w:val="TableParagraph"/>
              <w:spacing w:line="225" w:lineRule="exact"/>
              <w:ind w:left="102" w:right="88"/>
              <w:jc w:val="center"/>
              <w:rPr>
                <w:sz w:val="20"/>
              </w:rPr>
            </w:pPr>
            <w:r>
              <w:rPr>
                <w:sz w:val="20"/>
              </w:rPr>
              <w:t>0,507</w:t>
            </w:r>
          </w:p>
        </w:tc>
      </w:tr>
      <w:tr w:rsidR="00C94252">
        <w:trPr>
          <w:trHeight w:val="460"/>
        </w:trPr>
        <w:tc>
          <w:tcPr>
            <w:tcW w:w="562" w:type="dxa"/>
          </w:tcPr>
          <w:p w:rsidR="00C94252" w:rsidRDefault="00A33443">
            <w:pPr>
              <w:pStyle w:val="TableParagraph"/>
              <w:spacing w:before="101"/>
              <w:ind w:left="12"/>
              <w:jc w:val="center"/>
              <w:rPr>
                <w:sz w:val="20"/>
              </w:rPr>
            </w:pPr>
            <w:r>
              <w:rPr>
                <w:w w:val="99"/>
                <w:sz w:val="20"/>
              </w:rPr>
              <w:t>2</w:t>
            </w:r>
          </w:p>
        </w:tc>
        <w:tc>
          <w:tcPr>
            <w:tcW w:w="2269" w:type="dxa"/>
            <w:tcBorders>
              <w:right w:val="single" w:sz="8" w:space="0" w:color="000000"/>
            </w:tcBorders>
          </w:tcPr>
          <w:p w:rsidR="00C94252" w:rsidRDefault="00A33443">
            <w:pPr>
              <w:pStyle w:val="TableParagraph"/>
              <w:spacing w:line="216" w:lineRule="exact"/>
              <w:ind w:left="109"/>
              <w:rPr>
                <w:sz w:val="20"/>
              </w:rPr>
            </w:pPr>
            <w:r>
              <w:rPr>
                <w:sz w:val="20"/>
              </w:rPr>
              <w:t>Lack of perceived</w:t>
            </w:r>
          </w:p>
          <w:p w:rsidR="00C94252" w:rsidRDefault="00A33443">
            <w:pPr>
              <w:pStyle w:val="TableParagraph"/>
              <w:spacing w:line="224" w:lineRule="exact"/>
              <w:ind w:left="109"/>
              <w:rPr>
                <w:sz w:val="20"/>
              </w:rPr>
            </w:pPr>
            <w:r>
              <w:rPr>
                <w:sz w:val="20"/>
              </w:rPr>
              <w:t>profitability</w:t>
            </w:r>
          </w:p>
        </w:tc>
        <w:tc>
          <w:tcPr>
            <w:tcW w:w="711"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5"/>
              <w:jc w:val="right"/>
              <w:rPr>
                <w:sz w:val="20"/>
              </w:rPr>
            </w:pPr>
            <w:r>
              <w:rPr>
                <w:sz w:val="20"/>
              </w:rPr>
              <w:t>68</w:t>
            </w:r>
          </w:p>
        </w:tc>
        <w:tc>
          <w:tcPr>
            <w:tcW w:w="709" w:type="dxa"/>
            <w:tcBorders>
              <w:righ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3"/>
              <w:jc w:val="right"/>
              <w:rPr>
                <w:sz w:val="20"/>
              </w:rPr>
            </w:pPr>
            <w:r>
              <w:rPr>
                <w:sz w:val="20"/>
              </w:rPr>
              <w:t>3,40</w:t>
            </w:r>
          </w:p>
        </w:tc>
        <w:tc>
          <w:tcPr>
            <w:tcW w:w="993"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9"/>
              <w:jc w:val="right"/>
              <w:rPr>
                <w:sz w:val="20"/>
              </w:rPr>
            </w:pPr>
            <w:r>
              <w:rPr>
                <w:sz w:val="20"/>
              </w:rPr>
              <w:t>3,50</w:t>
            </w:r>
          </w:p>
        </w:tc>
        <w:tc>
          <w:tcPr>
            <w:tcW w:w="995" w:type="dxa"/>
          </w:tcPr>
          <w:p w:rsidR="00C94252" w:rsidRDefault="00C94252">
            <w:pPr>
              <w:pStyle w:val="TableParagraph"/>
              <w:spacing w:before="9"/>
              <w:rPr>
                <w:sz w:val="18"/>
              </w:rPr>
            </w:pPr>
          </w:p>
          <w:p w:rsidR="00C94252" w:rsidRDefault="00A33443">
            <w:pPr>
              <w:pStyle w:val="TableParagraph"/>
              <w:spacing w:line="224" w:lineRule="exact"/>
              <w:ind w:right="100"/>
              <w:jc w:val="right"/>
              <w:rPr>
                <w:sz w:val="20"/>
              </w:rPr>
            </w:pPr>
            <w:r>
              <w:rPr>
                <w:sz w:val="20"/>
              </w:rPr>
              <w:t>3,05</w:t>
            </w:r>
          </w:p>
        </w:tc>
        <w:tc>
          <w:tcPr>
            <w:tcW w:w="1134" w:type="dxa"/>
          </w:tcPr>
          <w:p w:rsidR="00C94252" w:rsidRDefault="00C94252">
            <w:pPr>
              <w:pStyle w:val="TableParagraph"/>
              <w:spacing w:before="9"/>
              <w:rPr>
                <w:sz w:val="18"/>
              </w:rPr>
            </w:pPr>
          </w:p>
          <w:p w:rsidR="00C94252" w:rsidRDefault="00A33443">
            <w:pPr>
              <w:pStyle w:val="TableParagraph"/>
              <w:spacing w:line="224" w:lineRule="exact"/>
              <w:ind w:right="102"/>
              <w:jc w:val="right"/>
              <w:rPr>
                <w:sz w:val="20"/>
              </w:rPr>
            </w:pPr>
            <w:r>
              <w:rPr>
                <w:sz w:val="20"/>
              </w:rPr>
              <w:t>3,68</w:t>
            </w:r>
          </w:p>
        </w:tc>
        <w:tc>
          <w:tcPr>
            <w:tcW w:w="955" w:type="dxa"/>
          </w:tcPr>
          <w:p w:rsidR="00C94252" w:rsidRDefault="00C94252">
            <w:pPr>
              <w:pStyle w:val="TableParagraph"/>
              <w:spacing w:before="9"/>
              <w:rPr>
                <w:sz w:val="18"/>
              </w:rPr>
            </w:pPr>
          </w:p>
          <w:p w:rsidR="00C94252" w:rsidRDefault="00A33443">
            <w:pPr>
              <w:pStyle w:val="TableParagraph"/>
              <w:spacing w:line="224" w:lineRule="exact"/>
              <w:ind w:right="103"/>
              <w:jc w:val="right"/>
              <w:rPr>
                <w:sz w:val="20"/>
              </w:rPr>
            </w:pPr>
            <w:r>
              <w:rPr>
                <w:sz w:val="20"/>
              </w:rPr>
              <w:t>3,13</w:t>
            </w:r>
          </w:p>
        </w:tc>
        <w:tc>
          <w:tcPr>
            <w:tcW w:w="690" w:type="dxa"/>
          </w:tcPr>
          <w:p w:rsidR="00C94252" w:rsidRDefault="00C94252">
            <w:pPr>
              <w:pStyle w:val="TableParagraph"/>
              <w:spacing w:before="9"/>
              <w:rPr>
                <w:sz w:val="18"/>
              </w:rPr>
            </w:pPr>
          </w:p>
          <w:p w:rsidR="00C94252" w:rsidRDefault="00A33443">
            <w:pPr>
              <w:pStyle w:val="TableParagraph"/>
              <w:spacing w:line="224" w:lineRule="exact"/>
              <w:ind w:left="102" w:right="88"/>
              <w:jc w:val="center"/>
              <w:rPr>
                <w:sz w:val="20"/>
              </w:rPr>
            </w:pPr>
            <w:r>
              <w:rPr>
                <w:sz w:val="20"/>
              </w:rPr>
              <w:t>0,307</w:t>
            </w:r>
          </w:p>
        </w:tc>
      </w:tr>
      <w:tr w:rsidR="00C94252">
        <w:trPr>
          <w:trHeight w:val="258"/>
        </w:trPr>
        <w:tc>
          <w:tcPr>
            <w:tcW w:w="562" w:type="dxa"/>
          </w:tcPr>
          <w:p w:rsidR="00C94252" w:rsidRDefault="00A33443">
            <w:pPr>
              <w:pStyle w:val="TableParagraph"/>
              <w:ind w:left="12"/>
              <w:jc w:val="center"/>
              <w:rPr>
                <w:sz w:val="20"/>
              </w:rPr>
            </w:pPr>
            <w:r>
              <w:rPr>
                <w:w w:val="99"/>
                <w:sz w:val="20"/>
              </w:rPr>
              <w:t>3</w:t>
            </w:r>
          </w:p>
        </w:tc>
        <w:tc>
          <w:tcPr>
            <w:tcW w:w="2269" w:type="dxa"/>
            <w:tcBorders>
              <w:right w:val="single" w:sz="8" w:space="0" w:color="000000"/>
            </w:tcBorders>
          </w:tcPr>
          <w:p w:rsidR="00C94252" w:rsidRDefault="00A33443">
            <w:pPr>
              <w:pStyle w:val="TableParagraph"/>
              <w:spacing w:before="14" w:line="224" w:lineRule="exact"/>
              <w:ind w:left="109"/>
              <w:rPr>
                <w:sz w:val="20"/>
              </w:rPr>
            </w:pPr>
            <w:r>
              <w:rPr>
                <w:sz w:val="20"/>
              </w:rPr>
              <w:t>Lack of social capital</w:t>
            </w:r>
          </w:p>
        </w:tc>
        <w:tc>
          <w:tcPr>
            <w:tcW w:w="711" w:type="dxa"/>
            <w:tcBorders>
              <w:left w:val="single" w:sz="8" w:space="0" w:color="000000"/>
            </w:tcBorders>
          </w:tcPr>
          <w:p w:rsidR="00C94252" w:rsidRDefault="00A33443">
            <w:pPr>
              <w:pStyle w:val="TableParagraph"/>
              <w:spacing w:before="14" w:line="224" w:lineRule="exact"/>
              <w:ind w:right="95"/>
              <w:jc w:val="right"/>
              <w:rPr>
                <w:sz w:val="20"/>
              </w:rPr>
            </w:pPr>
            <w:r>
              <w:rPr>
                <w:sz w:val="20"/>
              </w:rPr>
              <w:t>70</w:t>
            </w:r>
          </w:p>
        </w:tc>
        <w:tc>
          <w:tcPr>
            <w:tcW w:w="709" w:type="dxa"/>
            <w:tcBorders>
              <w:right w:val="single" w:sz="8" w:space="0" w:color="000000"/>
            </w:tcBorders>
          </w:tcPr>
          <w:p w:rsidR="00C94252" w:rsidRDefault="00A33443">
            <w:pPr>
              <w:pStyle w:val="TableParagraph"/>
              <w:spacing w:before="14" w:line="224" w:lineRule="exact"/>
              <w:ind w:right="93"/>
              <w:jc w:val="right"/>
              <w:rPr>
                <w:sz w:val="20"/>
              </w:rPr>
            </w:pPr>
            <w:r>
              <w:rPr>
                <w:sz w:val="20"/>
              </w:rPr>
              <w:t>3,56</w:t>
            </w:r>
          </w:p>
        </w:tc>
        <w:tc>
          <w:tcPr>
            <w:tcW w:w="993" w:type="dxa"/>
            <w:tcBorders>
              <w:left w:val="single" w:sz="8" w:space="0" w:color="000000"/>
            </w:tcBorders>
          </w:tcPr>
          <w:p w:rsidR="00C94252" w:rsidRDefault="00A33443">
            <w:pPr>
              <w:pStyle w:val="TableParagraph"/>
              <w:spacing w:before="14" w:line="224" w:lineRule="exact"/>
              <w:ind w:right="99"/>
              <w:jc w:val="right"/>
              <w:rPr>
                <w:sz w:val="20"/>
              </w:rPr>
            </w:pPr>
            <w:r>
              <w:rPr>
                <w:sz w:val="20"/>
              </w:rPr>
              <w:t>3,14</w:t>
            </w:r>
          </w:p>
        </w:tc>
        <w:tc>
          <w:tcPr>
            <w:tcW w:w="995" w:type="dxa"/>
          </w:tcPr>
          <w:p w:rsidR="00C94252" w:rsidRDefault="00A33443">
            <w:pPr>
              <w:pStyle w:val="TableParagraph"/>
              <w:spacing w:before="14" w:line="224" w:lineRule="exact"/>
              <w:ind w:right="100"/>
              <w:jc w:val="right"/>
              <w:rPr>
                <w:sz w:val="20"/>
              </w:rPr>
            </w:pPr>
            <w:r>
              <w:rPr>
                <w:sz w:val="20"/>
              </w:rPr>
              <w:t>3,32</w:t>
            </w:r>
          </w:p>
        </w:tc>
        <w:tc>
          <w:tcPr>
            <w:tcW w:w="1134" w:type="dxa"/>
          </w:tcPr>
          <w:p w:rsidR="00C94252" w:rsidRDefault="00A33443">
            <w:pPr>
              <w:pStyle w:val="TableParagraph"/>
              <w:spacing w:before="14" w:line="224" w:lineRule="exact"/>
              <w:ind w:right="102"/>
              <w:jc w:val="right"/>
              <w:rPr>
                <w:sz w:val="20"/>
              </w:rPr>
            </w:pPr>
            <w:r>
              <w:rPr>
                <w:sz w:val="20"/>
              </w:rPr>
              <w:t>3,86</w:t>
            </w:r>
          </w:p>
        </w:tc>
        <w:tc>
          <w:tcPr>
            <w:tcW w:w="955" w:type="dxa"/>
          </w:tcPr>
          <w:p w:rsidR="00C94252" w:rsidRDefault="00A33443">
            <w:pPr>
              <w:pStyle w:val="TableParagraph"/>
              <w:spacing w:before="14" w:line="224" w:lineRule="exact"/>
              <w:ind w:right="103"/>
              <w:jc w:val="right"/>
              <w:rPr>
                <w:sz w:val="20"/>
              </w:rPr>
            </w:pPr>
            <w:r>
              <w:rPr>
                <w:sz w:val="20"/>
              </w:rPr>
              <w:t>3,78</w:t>
            </w:r>
          </w:p>
        </w:tc>
        <w:tc>
          <w:tcPr>
            <w:tcW w:w="690" w:type="dxa"/>
          </w:tcPr>
          <w:p w:rsidR="00C94252" w:rsidRDefault="00A33443">
            <w:pPr>
              <w:pStyle w:val="TableParagraph"/>
              <w:spacing w:before="14" w:line="224" w:lineRule="exact"/>
              <w:ind w:left="102" w:right="88"/>
              <w:jc w:val="center"/>
              <w:rPr>
                <w:sz w:val="20"/>
              </w:rPr>
            </w:pPr>
            <w:r>
              <w:rPr>
                <w:sz w:val="20"/>
              </w:rPr>
              <w:t>0,163</w:t>
            </w:r>
          </w:p>
        </w:tc>
      </w:tr>
      <w:tr w:rsidR="00C94252">
        <w:trPr>
          <w:trHeight w:val="261"/>
        </w:trPr>
        <w:tc>
          <w:tcPr>
            <w:tcW w:w="562" w:type="dxa"/>
          </w:tcPr>
          <w:p w:rsidR="00C94252" w:rsidRDefault="00A33443">
            <w:pPr>
              <w:pStyle w:val="TableParagraph"/>
              <w:spacing w:before="2"/>
              <w:ind w:left="12"/>
              <w:jc w:val="center"/>
              <w:rPr>
                <w:sz w:val="20"/>
              </w:rPr>
            </w:pPr>
            <w:r>
              <w:rPr>
                <w:w w:val="99"/>
                <w:sz w:val="20"/>
              </w:rPr>
              <w:t>4</w:t>
            </w:r>
          </w:p>
        </w:tc>
        <w:tc>
          <w:tcPr>
            <w:tcW w:w="2269" w:type="dxa"/>
            <w:tcBorders>
              <w:right w:val="single" w:sz="8" w:space="0" w:color="000000"/>
            </w:tcBorders>
          </w:tcPr>
          <w:p w:rsidR="00C94252" w:rsidRDefault="00A33443">
            <w:pPr>
              <w:pStyle w:val="TableParagraph"/>
              <w:spacing w:before="17" w:line="224" w:lineRule="exact"/>
              <w:ind w:left="109"/>
              <w:rPr>
                <w:sz w:val="20"/>
              </w:rPr>
            </w:pPr>
            <w:r>
              <w:rPr>
                <w:sz w:val="20"/>
              </w:rPr>
              <w:t>Lack of local skills</w:t>
            </w:r>
          </w:p>
        </w:tc>
        <w:tc>
          <w:tcPr>
            <w:tcW w:w="711" w:type="dxa"/>
            <w:tcBorders>
              <w:left w:val="single" w:sz="8" w:space="0" w:color="000000"/>
            </w:tcBorders>
          </w:tcPr>
          <w:p w:rsidR="00C94252" w:rsidRDefault="00A33443">
            <w:pPr>
              <w:pStyle w:val="TableParagraph"/>
              <w:spacing w:before="17" w:line="224" w:lineRule="exact"/>
              <w:ind w:right="95"/>
              <w:jc w:val="right"/>
              <w:rPr>
                <w:sz w:val="20"/>
              </w:rPr>
            </w:pPr>
            <w:r>
              <w:rPr>
                <w:sz w:val="20"/>
              </w:rPr>
              <w:t>68</w:t>
            </w:r>
          </w:p>
        </w:tc>
        <w:tc>
          <w:tcPr>
            <w:tcW w:w="709" w:type="dxa"/>
            <w:tcBorders>
              <w:right w:val="single" w:sz="8" w:space="0" w:color="000000"/>
            </w:tcBorders>
          </w:tcPr>
          <w:p w:rsidR="00C94252" w:rsidRDefault="00A33443">
            <w:pPr>
              <w:pStyle w:val="TableParagraph"/>
              <w:spacing w:before="17" w:line="224" w:lineRule="exact"/>
              <w:ind w:right="93"/>
              <w:jc w:val="right"/>
              <w:rPr>
                <w:sz w:val="20"/>
              </w:rPr>
            </w:pPr>
            <w:r>
              <w:rPr>
                <w:sz w:val="20"/>
              </w:rPr>
              <w:t>3,16</w:t>
            </w:r>
          </w:p>
        </w:tc>
        <w:tc>
          <w:tcPr>
            <w:tcW w:w="993" w:type="dxa"/>
            <w:tcBorders>
              <w:left w:val="single" w:sz="8" w:space="0" w:color="000000"/>
            </w:tcBorders>
          </w:tcPr>
          <w:p w:rsidR="00C94252" w:rsidRDefault="00A33443">
            <w:pPr>
              <w:pStyle w:val="TableParagraph"/>
              <w:spacing w:before="17" w:line="224" w:lineRule="exact"/>
              <w:ind w:right="99"/>
              <w:jc w:val="right"/>
              <w:rPr>
                <w:sz w:val="20"/>
              </w:rPr>
            </w:pPr>
            <w:r>
              <w:rPr>
                <w:sz w:val="20"/>
              </w:rPr>
              <w:t>2,64</w:t>
            </w:r>
          </w:p>
        </w:tc>
        <w:tc>
          <w:tcPr>
            <w:tcW w:w="995" w:type="dxa"/>
          </w:tcPr>
          <w:p w:rsidR="00C94252" w:rsidRDefault="00A33443">
            <w:pPr>
              <w:pStyle w:val="TableParagraph"/>
              <w:spacing w:before="17" w:line="224" w:lineRule="exact"/>
              <w:ind w:right="100"/>
              <w:jc w:val="right"/>
              <w:rPr>
                <w:sz w:val="20"/>
              </w:rPr>
            </w:pPr>
            <w:r>
              <w:rPr>
                <w:sz w:val="20"/>
              </w:rPr>
              <w:t>3,53</w:t>
            </w:r>
          </w:p>
        </w:tc>
        <w:tc>
          <w:tcPr>
            <w:tcW w:w="1134" w:type="dxa"/>
          </w:tcPr>
          <w:p w:rsidR="00C94252" w:rsidRDefault="00A33443">
            <w:pPr>
              <w:pStyle w:val="TableParagraph"/>
              <w:spacing w:before="17" w:line="224" w:lineRule="exact"/>
              <w:ind w:right="102"/>
              <w:jc w:val="right"/>
              <w:rPr>
                <w:sz w:val="20"/>
              </w:rPr>
            </w:pPr>
            <w:r>
              <w:rPr>
                <w:sz w:val="20"/>
              </w:rPr>
              <w:t>3,11</w:t>
            </w:r>
          </w:p>
        </w:tc>
        <w:tc>
          <w:tcPr>
            <w:tcW w:w="955" w:type="dxa"/>
          </w:tcPr>
          <w:p w:rsidR="00C94252" w:rsidRDefault="00A33443">
            <w:pPr>
              <w:pStyle w:val="TableParagraph"/>
              <w:spacing w:before="17" w:line="224" w:lineRule="exact"/>
              <w:ind w:right="103"/>
              <w:jc w:val="right"/>
              <w:rPr>
                <w:sz w:val="20"/>
              </w:rPr>
            </w:pPr>
            <w:r>
              <w:rPr>
                <w:sz w:val="20"/>
              </w:rPr>
              <w:t>3,38</w:t>
            </w:r>
          </w:p>
        </w:tc>
        <w:tc>
          <w:tcPr>
            <w:tcW w:w="690" w:type="dxa"/>
          </w:tcPr>
          <w:p w:rsidR="00C94252" w:rsidRDefault="00A33443">
            <w:pPr>
              <w:pStyle w:val="TableParagraph"/>
              <w:spacing w:before="17" w:line="224" w:lineRule="exact"/>
              <w:ind w:left="102" w:right="88"/>
              <w:jc w:val="center"/>
              <w:rPr>
                <w:sz w:val="20"/>
              </w:rPr>
            </w:pPr>
            <w:r>
              <w:rPr>
                <w:sz w:val="20"/>
              </w:rPr>
              <w:t>0,226</w:t>
            </w:r>
          </w:p>
        </w:tc>
      </w:tr>
      <w:tr w:rsidR="00C94252">
        <w:trPr>
          <w:trHeight w:val="460"/>
        </w:trPr>
        <w:tc>
          <w:tcPr>
            <w:tcW w:w="562" w:type="dxa"/>
          </w:tcPr>
          <w:p w:rsidR="00C94252" w:rsidRDefault="00A33443">
            <w:pPr>
              <w:pStyle w:val="TableParagraph"/>
              <w:spacing w:before="101"/>
              <w:ind w:left="12"/>
              <w:jc w:val="center"/>
              <w:rPr>
                <w:sz w:val="20"/>
              </w:rPr>
            </w:pPr>
            <w:r>
              <w:rPr>
                <w:w w:val="99"/>
                <w:sz w:val="20"/>
              </w:rPr>
              <w:t>5</w:t>
            </w:r>
          </w:p>
        </w:tc>
        <w:tc>
          <w:tcPr>
            <w:tcW w:w="2269" w:type="dxa"/>
            <w:tcBorders>
              <w:right w:val="single" w:sz="8" w:space="0" w:color="000000"/>
            </w:tcBorders>
          </w:tcPr>
          <w:p w:rsidR="00C94252" w:rsidRDefault="00A33443">
            <w:pPr>
              <w:pStyle w:val="TableParagraph"/>
              <w:spacing w:line="221" w:lineRule="exact"/>
              <w:ind w:left="109"/>
              <w:rPr>
                <w:b/>
                <w:sz w:val="20"/>
              </w:rPr>
            </w:pPr>
            <w:r>
              <w:rPr>
                <w:b/>
                <w:sz w:val="20"/>
              </w:rPr>
              <w:t>**Lack of local</w:t>
            </w:r>
          </w:p>
          <w:p w:rsidR="00C94252" w:rsidRDefault="00A33443">
            <w:pPr>
              <w:pStyle w:val="TableParagraph"/>
              <w:spacing w:line="219" w:lineRule="exact"/>
              <w:ind w:left="109"/>
              <w:rPr>
                <w:b/>
                <w:sz w:val="20"/>
              </w:rPr>
            </w:pPr>
            <w:r>
              <w:rPr>
                <w:b/>
                <w:sz w:val="20"/>
              </w:rPr>
              <w:t>communication culture</w:t>
            </w:r>
          </w:p>
        </w:tc>
        <w:tc>
          <w:tcPr>
            <w:tcW w:w="711"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5"/>
              <w:jc w:val="right"/>
              <w:rPr>
                <w:sz w:val="20"/>
              </w:rPr>
            </w:pPr>
            <w:r>
              <w:rPr>
                <w:sz w:val="20"/>
              </w:rPr>
              <w:t>69</w:t>
            </w:r>
          </w:p>
        </w:tc>
        <w:tc>
          <w:tcPr>
            <w:tcW w:w="709" w:type="dxa"/>
            <w:tcBorders>
              <w:righ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3"/>
              <w:jc w:val="right"/>
              <w:rPr>
                <w:sz w:val="20"/>
              </w:rPr>
            </w:pPr>
            <w:r>
              <w:rPr>
                <w:sz w:val="20"/>
              </w:rPr>
              <w:t>3,33</w:t>
            </w:r>
          </w:p>
        </w:tc>
        <w:tc>
          <w:tcPr>
            <w:tcW w:w="993"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9"/>
              <w:jc w:val="right"/>
              <w:rPr>
                <w:sz w:val="20"/>
              </w:rPr>
            </w:pPr>
            <w:r>
              <w:rPr>
                <w:sz w:val="20"/>
              </w:rPr>
              <w:t>2,54</w:t>
            </w:r>
          </w:p>
        </w:tc>
        <w:tc>
          <w:tcPr>
            <w:tcW w:w="995" w:type="dxa"/>
          </w:tcPr>
          <w:p w:rsidR="00C94252" w:rsidRDefault="00C94252">
            <w:pPr>
              <w:pStyle w:val="TableParagraph"/>
              <w:spacing w:before="9"/>
              <w:rPr>
                <w:sz w:val="18"/>
              </w:rPr>
            </w:pPr>
          </w:p>
          <w:p w:rsidR="00C94252" w:rsidRDefault="00A33443">
            <w:pPr>
              <w:pStyle w:val="TableParagraph"/>
              <w:spacing w:line="224" w:lineRule="exact"/>
              <w:ind w:right="100"/>
              <w:jc w:val="right"/>
              <w:rPr>
                <w:sz w:val="20"/>
              </w:rPr>
            </w:pPr>
            <w:r>
              <w:rPr>
                <w:sz w:val="20"/>
              </w:rPr>
              <w:t>3,63</w:t>
            </w:r>
          </w:p>
        </w:tc>
        <w:tc>
          <w:tcPr>
            <w:tcW w:w="1134" w:type="dxa"/>
          </w:tcPr>
          <w:p w:rsidR="00C94252" w:rsidRDefault="00C94252">
            <w:pPr>
              <w:pStyle w:val="TableParagraph"/>
              <w:spacing w:before="9"/>
              <w:rPr>
                <w:sz w:val="18"/>
              </w:rPr>
            </w:pPr>
          </w:p>
          <w:p w:rsidR="00C94252" w:rsidRDefault="00A33443">
            <w:pPr>
              <w:pStyle w:val="TableParagraph"/>
              <w:spacing w:line="224" w:lineRule="exact"/>
              <w:ind w:right="102"/>
              <w:jc w:val="right"/>
              <w:rPr>
                <w:sz w:val="20"/>
              </w:rPr>
            </w:pPr>
            <w:r>
              <w:rPr>
                <w:sz w:val="20"/>
              </w:rPr>
              <w:t>3,54</w:t>
            </w:r>
          </w:p>
        </w:tc>
        <w:tc>
          <w:tcPr>
            <w:tcW w:w="955" w:type="dxa"/>
          </w:tcPr>
          <w:p w:rsidR="00C94252" w:rsidRDefault="00C94252">
            <w:pPr>
              <w:pStyle w:val="TableParagraph"/>
              <w:spacing w:before="9"/>
              <w:rPr>
                <w:sz w:val="18"/>
              </w:rPr>
            </w:pPr>
          </w:p>
          <w:p w:rsidR="00C94252" w:rsidRDefault="00A33443">
            <w:pPr>
              <w:pStyle w:val="TableParagraph"/>
              <w:spacing w:line="224" w:lineRule="exact"/>
              <w:ind w:right="103"/>
              <w:jc w:val="right"/>
              <w:rPr>
                <w:sz w:val="20"/>
              </w:rPr>
            </w:pPr>
            <w:r>
              <w:rPr>
                <w:sz w:val="20"/>
              </w:rPr>
              <w:t>3,22</w:t>
            </w:r>
          </w:p>
        </w:tc>
        <w:tc>
          <w:tcPr>
            <w:tcW w:w="690" w:type="dxa"/>
          </w:tcPr>
          <w:p w:rsidR="00C94252" w:rsidRDefault="00C94252">
            <w:pPr>
              <w:pStyle w:val="TableParagraph"/>
              <w:spacing w:before="2"/>
              <w:rPr>
                <w:sz w:val="19"/>
              </w:rPr>
            </w:pPr>
          </w:p>
          <w:p w:rsidR="00C94252" w:rsidRDefault="00A33443">
            <w:pPr>
              <w:pStyle w:val="TableParagraph"/>
              <w:spacing w:line="219" w:lineRule="exact"/>
              <w:ind w:left="102" w:right="88"/>
              <w:jc w:val="center"/>
              <w:rPr>
                <w:b/>
                <w:sz w:val="20"/>
              </w:rPr>
            </w:pPr>
            <w:r>
              <w:rPr>
                <w:b/>
                <w:sz w:val="20"/>
              </w:rPr>
              <w:t>0,043</w:t>
            </w:r>
          </w:p>
        </w:tc>
      </w:tr>
      <w:tr w:rsidR="00C94252">
        <w:trPr>
          <w:trHeight w:val="460"/>
        </w:trPr>
        <w:tc>
          <w:tcPr>
            <w:tcW w:w="562" w:type="dxa"/>
          </w:tcPr>
          <w:p w:rsidR="00C94252" w:rsidRDefault="00A33443">
            <w:pPr>
              <w:pStyle w:val="TableParagraph"/>
              <w:spacing w:before="101"/>
              <w:ind w:left="12"/>
              <w:jc w:val="center"/>
              <w:rPr>
                <w:sz w:val="20"/>
              </w:rPr>
            </w:pPr>
            <w:r>
              <w:rPr>
                <w:w w:val="99"/>
                <w:sz w:val="20"/>
              </w:rPr>
              <w:t>6</w:t>
            </w:r>
          </w:p>
        </w:tc>
        <w:tc>
          <w:tcPr>
            <w:tcW w:w="2269" w:type="dxa"/>
            <w:tcBorders>
              <w:right w:val="single" w:sz="8" w:space="0" w:color="000000"/>
            </w:tcBorders>
          </w:tcPr>
          <w:p w:rsidR="00C94252" w:rsidRDefault="00A33443">
            <w:pPr>
              <w:pStyle w:val="TableParagraph"/>
              <w:spacing w:line="216" w:lineRule="exact"/>
              <w:ind w:left="109"/>
              <w:rPr>
                <w:sz w:val="20"/>
              </w:rPr>
            </w:pPr>
            <w:r>
              <w:rPr>
                <w:sz w:val="20"/>
              </w:rPr>
              <w:t>Lack of (local) financial</w:t>
            </w:r>
          </w:p>
          <w:p w:rsidR="00C94252" w:rsidRDefault="00A33443">
            <w:pPr>
              <w:pStyle w:val="TableParagraph"/>
              <w:spacing w:line="224" w:lineRule="exact"/>
              <w:ind w:left="109"/>
              <w:rPr>
                <w:sz w:val="20"/>
              </w:rPr>
            </w:pPr>
            <w:r>
              <w:rPr>
                <w:sz w:val="20"/>
              </w:rPr>
              <w:t>resources</w:t>
            </w:r>
          </w:p>
        </w:tc>
        <w:tc>
          <w:tcPr>
            <w:tcW w:w="711"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5"/>
              <w:jc w:val="right"/>
              <w:rPr>
                <w:sz w:val="20"/>
              </w:rPr>
            </w:pPr>
            <w:r>
              <w:rPr>
                <w:sz w:val="20"/>
              </w:rPr>
              <w:t>68</w:t>
            </w:r>
          </w:p>
        </w:tc>
        <w:tc>
          <w:tcPr>
            <w:tcW w:w="709" w:type="dxa"/>
            <w:tcBorders>
              <w:righ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3"/>
              <w:jc w:val="right"/>
              <w:rPr>
                <w:sz w:val="20"/>
              </w:rPr>
            </w:pPr>
            <w:r>
              <w:rPr>
                <w:sz w:val="20"/>
              </w:rPr>
              <w:t>3,69</w:t>
            </w:r>
          </w:p>
        </w:tc>
        <w:tc>
          <w:tcPr>
            <w:tcW w:w="993"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9"/>
              <w:jc w:val="right"/>
              <w:rPr>
                <w:sz w:val="20"/>
              </w:rPr>
            </w:pPr>
            <w:r>
              <w:rPr>
                <w:sz w:val="20"/>
              </w:rPr>
              <w:t>4,00</w:t>
            </w:r>
          </w:p>
        </w:tc>
        <w:tc>
          <w:tcPr>
            <w:tcW w:w="995" w:type="dxa"/>
          </w:tcPr>
          <w:p w:rsidR="00C94252" w:rsidRDefault="00C94252">
            <w:pPr>
              <w:pStyle w:val="TableParagraph"/>
              <w:spacing w:before="9"/>
              <w:rPr>
                <w:sz w:val="18"/>
              </w:rPr>
            </w:pPr>
          </w:p>
          <w:p w:rsidR="00C94252" w:rsidRDefault="00A33443">
            <w:pPr>
              <w:pStyle w:val="TableParagraph"/>
              <w:spacing w:line="224" w:lineRule="exact"/>
              <w:ind w:right="100"/>
              <w:jc w:val="right"/>
              <w:rPr>
                <w:sz w:val="20"/>
              </w:rPr>
            </w:pPr>
            <w:r>
              <w:rPr>
                <w:sz w:val="20"/>
              </w:rPr>
              <w:t>3,20</w:t>
            </w:r>
          </w:p>
        </w:tc>
        <w:tc>
          <w:tcPr>
            <w:tcW w:w="1134" w:type="dxa"/>
          </w:tcPr>
          <w:p w:rsidR="00C94252" w:rsidRDefault="00C94252">
            <w:pPr>
              <w:pStyle w:val="TableParagraph"/>
              <w:spacing w:before="9"/>
              <w:rPr>
                <w:sz w:val="18"/>
              </w:rPr>
            </w:pPr>
          </w:p>
          <w:p w:rsidR="00C94252" w:rsidRDefault="00A33443">
            <w:pPr>
              <w:pStyle w:val="TableParagraph"/>
              <w:spacing w:line="224" w:lineRule="exact"/>
              <w:ind w:right="102"/>
              <w:jc w:val="right"/>
              <w:rPr>
                <w:sz w:val="20"/>
              </w:rPr>
            </w:pPr>
            <w:r>
              <w:rPr>
                <w:sz w:val="20"/>
              </w:rPr>
              <w:t>3,93</w:t>
            </w:r>
          </w:p>
        </w:tc>
        <w:tc>
          <w:tcPr>
            <w:tcW w:w="955" w:type="dxa"/>
          </w:tcPr>
          <w:p w:rsidR="00C94252" w:rsidRDefault="00C94252">
            <w:pPr>
              <w:pStyle w:val="TableParagraph"/>
              <w:spacing w:before="9"/>
              <w:rPr>
                <w:sz w:val="18"/>
              </w:rPr>
            </w:pPr>
          </w:p>
          <w:p w:rsidR="00C94252" w:rsidRDefault="00A33443">
            <w:pPr>
              <w:pStyle w:val="TableParagraph"/>
              <w:spacing w:line="224" w:lineRule="exact"/>
              <w:ind w:right="103"/>
              <w:jc w:val="right"/>
              <w:rPr>
                <w:sz w:val="20"/>
              </w:rPr>
            </w:pPr>
            <w:r>
              <w:rPr>
                <w:sz w:val="20"/>
              </w:rPr>
              <w:t>3,63</w:t>
            </w:r>
          </w:p>
        </w:tc>
        <w:tc>
          <w:tcPr>
            <w:tcW w:w="690" w:type="dxa"/>
          </w:tcPr>
          <w:p w:rsidR="00C94252" w:rsidRDefault="00C94252">
            <w:pPr>
              <w:pStyle w:val="TableParagraph"/>
              <w:spacing w:before="9"/>
              <w:rPr>
                <w:sz w:val="18"/>
              </w:rPr>
            </w:pPr>
          </w:p>
          <w:p w:rsidR="00C94252" w:rsidRDefault="00A33443">
            <w:pPr>
              <w:pStyle w:val="TableParagraph"/>
              <w:spacing w:line="224" w:lineRule="exact"/>
              <w:ind w:left="102" w:right="88"/>
              <w:jc w:val="center"/>
              <w:rPr>
                <w:sz w:val="20"/>
              </w:rPr>
            </w:pPr>
            <w:r>
              <w:rPr>
                <w:sz w:val="20"/>
              </w:rPr>
              <w:t>0,108</w:t>
            </w:r>
          </w:p>
        </w:tc>
      </w:tr>
      <w:tr w:rsidR="00C94252">
        <w:trPr>
          <w:trHeight w:val="458"/>
        </w:trPr>
        <w:tc>
          <w:tcPr>
            <w:tcW w:w="562" w:type="dxa"/>
          </w:tcPr>
          <w:p w:rsidR="00C94252" w:rsidRDefault="00A33443">
            <w:pPr>
              <w:pStyle w:val="TableParagraph"/>
              <w:spacing w:before="98"/>
              <w:ind w:left="12"/>
              <w:jc w:val="center"/>
              <w:rPr>
                <w:sz w:val="20"/>
              </w:rPr>
            </w:pPr>
            <w:r>
              <w:rPr>
                <w:w w:val="99"/>
                <w:sz w:val="20"/>
              </w:rPr>
              <w:t>7</w:t>
            </w:r>
          </w:p>
        </w:tc>
        <w:tc>
          <w:tcPr>
            <w:tcW w:w="2269" w:type="dxa"/>
            <w:tcBorders>
              <w:right w:val="single" w:sz="8" w:space="0" w:color="000000"/>
            </w:tcBorders>
          </w:tcPr>
          <w:p w:rsidR="00C94252" w:rsidRDefault="00A33443">
            <w:pPr>
              <w:pStyle w:val="TableParagraph"/>
              <w:spacing w:line="215" w:lineRule="exact"/>
              <w:ind w:left="109"/>
              <w:rPr>
                <w:sz w:val="20"/>
              </w:rPr>
            </w:pPr>
            <w:r>
              <w:rPr>
                <w:sz w:val="20"/>
              </w:rPr>
              <w:t>Lack of national</w:t>
            </w:r>
          </w:p>
          <w:p w:rsidR="00C94252" w:rsidRDefault="00A33443">
            <w:pPr>
              <w:pStyle w:val="TableParagraph"/>
              <w:spacing w:line="223" w:lineRule="exact"/>
              <w:ind w:left="109"/>
              <w:rPr>
                <w:sz w:val="20"/>
              </w:rPr>
            </w:pPr>
            <w:r>
              <w:rPr>
                <w:sz w:val="20"/>
              </w:rPr>
              <w:t>incentives</w:t>
            </w:r>
          </w:p>
        </w:tc>
        <w:tc>
          <w:tcPr>
            <w:tcW w:w="711" w:type="dxa"/>
            <w:tcBorders>
              <w:left w:val="single" w:sz="8" w:space="0" w:color="000000"/>
            </w:tcBorders>
          </w:tcPr>
          <w:p w:rsidR="00C94252" w:rsidRDefault="00C94252">
            <w:pPr>
              <w:pStyle w:val="TableParagraph"/>
              <w:spacing w:before="6"/>
              <w:rPr>
                <w:sz w:val="18"/>
              </w:rPr>
            </w:pPr>
          </w:p>
          <w:p w:rsidR="00C94252" w:rsidRDefault="00A33443">
            <w:pPr>
              <w:pStyle w:val="TableParagraph"/>
              <w:spacing w:before="1" w:line="224" w:lineRule="exact"/>
              <w:ind w:right="95"/>
              <w:jc w:val="right"/>
              <w:rPr>
                <w:sz w:val="20"/>
              </w:rPr>
            </w:pPr>
            <w:r>
              <w:rPr>
                <w:sz w:val="20"/>
              </w:rPr>
              <w:t>66</w:t>
            </w:r>
          </w:p>
        </w:tc>
        <w:tc>
          <w:tcPr>
            <w:tcW w:w="709" w:type="dxa"/>
            <w:tcBorders>
              <w:right w:val="single" w:sz="8" w:space="0" w:color="000000"/>
            </w:tcBorders>
          </w:tcPr>
          <w:p w:rsidR="00C94252" w:rsidRDefault="00C94252">
            <w:pPr>
              <w:pStyle w:val="TableParagraph"/>
              <w:spacing w:before="6"/>
              <w:rPr>
                <w:sz w:val="18"/>
              </w:rPr>
            </w:pPr>
          </w:p>
          <w:p w:rsidR="00C94252" w:rsidRDefault="00A33443">
            <w:pPr>
              <w:pStyle w:val="TableParagraph"/>
              <w:spacing w:before="1" w:line="224" w:lineRule="exact"/>
              <w:ind w:right="93"/>
              <w:jc w:val="right"/>
              <w:rPr>
                <w:sz w:val="20"/>
              </w:rPr>
            </w:pPr>
            <w:r>
              <w:rPr>
                <w:sz w:val="20"/>
              </w:rPr>
              <w:t>3,68</w:t>
            </w:r>
          </w:p>
        </w:tc>
        <w:tc>
          <w:tcPr>
            <w:tcW w:w="993" w:type="dxa"/>
            <w:tcBorders>
              <w:left w:val="single" w:sz="8" w:space="0" w:color="000000"/>
            </w:tcBorders>
          </w:tcPr>
          <w:p w:rsidR="00C94252" w:rsidRDefault="00C94252">
            <w:pPr>
              <w:pStyle w:val="TableParagraph"/>
              <w:spacing w:before="6"/>
              <w:rPr>
                <w:sz w:val="18"/>
              </w:rPr>
            </w:pPr>
          </w:p>
          <w:p w:rsidR="00C94252" w:rsidRDefault="00A33443">
            <w:pPr>
              <w:pStyle w:val="TableParagraph"/>
              <w:spacing w:before="1" w:line="224" w:lineRule="exact"/>
              <w:ind w:right="99"/>
              <w:jc w:val="right"/>
              <w:rPr>
                <w:sz w:val="20"/>
              </w:rPr>
            </w:pPr>
            <w:r>
              <w:rPr>
                <w:sz w:val="20"/>
              </w:rPr>
              <w:t>3,54</w:t>
            </w:r>
          </w:p>
        </w:tc>
        <w:tc>
          <w:tcPr>
            <w:tcW w:w="995" w:type="dxa"/>
          </w:tcPr>
          <w:p w:rsidR="00C94252" w:rsidRDefault="00C94252">
            <w:pPr>
              <w:pStyle w:val="TableParagraph"/>
              <w:spacing w:before="6"/>
              <w:rPr>
                <w:sz w:val="18"/>
              </w:rPr>
            </w:pPr>
          </w:p>
          <w:p w:rsidR="00C94252" w:rsidRDefault="00A33443">
            <w:pPr>
              <w:pStyle w:val="TableParagraph"/>
              <w:spacing w:before="1" w:line="224" w:lineRule="exact"/>
              <w:ind w:right="100"/>
              <w:jc w:val="right"/>
              <w:rPr>
                <w:sz w:val="20"/>
              </w:rPr>
            </w:pPr>
            <w:r>
              <w:rPr>
                <w:sz w:val="20"/>
              </w:rPr>
              <w:t>3,21</w:t>
            </w:r>
          </w:p>
        </w:tc>
        <w:tc>
          <w:tcPr>
            <w:tcW w:w="1134" w:type="dxa"/>
          </w:tcPr>
          <w:p w:rsidR="00C94252" w:rsidRDefault="00C94252">
            <w:pPr>
              <w:pStyle w:val="TableParagraph"/>
              <w:spacing w:before="6"/>
              <w:rPr>
                <w:sz w:val="18"/>
              </w:rPr>
            </w:pPr>
          </w:p>
          <w:p w:rsidR="00C94252" w:rsidRDefault="00A33443">
            <w:pPr>
              <w:pStyle w:val="TableParagraph"/>
              <w:spacing w:before="1" w:line="224" w:lineRule="exact"/>
              <w:ind w:right="102"/>
              <w:jc w:val="right"/>
              <w:rPr>
                <w:sz w:val="20"/>
              </w:rPr>
            </w:pPr>
            <w:r>
              <w:rPr>
                <w:sz w:val="20"/>
              </w:rPr>
              <w:t>4,08</w:t>
            </w:r>
          </w:p>
        </w:tc>
        <w:tc>
          <w:tcPr>
            <w:tcW w:w="955" w:type="dxa"/>
          </w:tcPr>
          <w:p w:rsidR="00C94252" w:rsidRDefault="00C94252">
            <w:pPr>
              <w:pStyle w:val="TableParagraph"/>
              <w:spacing w:before="6"/>
              <w:rPr>
                <w:sz w:val="18"/>
              </w:rPr>
            </w:pPr>
          </w:p>
          <w:p w:rsidR="00C94252" w:rsidRDefault="00A33443">
            <w:pPr>
              <w:pStyle w:val="TableParagraph"/>
              <w:spacing w:before="1" w:line="224" w:lineRule="exact"/>
              <w:ind w:right="103"/>
              <w:jc w:val="right"/>
              <w:rPr>
                <w:sz w:val="20"/>
              </w:rPr>
            </w:pPr>
            <w:r>
              <w:rPr>
                <w:sz w:val="20"/>
              </w:rPr>
              <w:t>3,75</w:t>
            </w:r>
          </w:p>
        </w:tc>
        <w:tc>
          <w:tcPr>
            <w:tcW w:w="690" w:type="dxa"/>
          </w:tcPr>
          <w:p w:rsidR="00C94252" w:rsidRDefault="00C94252">
            <w:pPr>
              <w:pStyle w:val="TableParagraph"/>
              <w:spacing w:before="6"/>
              <w:rPr>
                <w:sz w:val="18"/>
              </w:rPr>
            </w:pPr>
          </w:p>
          <w:p w:rsidR="00C94252" w:rsidRDefault="00A33443">
            <w:pPr>
              <w:pStyle w:val="TableParagraph"/>
              <w:spacing w:before="1" w:line="224" w:lineRule="exact"/>
              <w:ind w:left="102" w:right="88"/>
              <w:jc w:val="center"/>
              <w:rPr>
                <w:sz w:val="20"/>
              </w:rPr>
            </w:pPr>
            <w:r>
              <w:rPr>
                <w:sz w:val="20"/>
              </w:rPr>
              <w:t>0,215</w:t>
            </w:r>
          </w:p>
        </w:tc>
      </w:tr>
      <w:tr w:rsidR="00C94252">
        <w:trPr>
          <w:trHeight w:val="460"/>
        </w:trPr>
        <w:tc>
          <w:tcPr>
            <w:tcW w:w="562" w:type="dxa"/>
          </w:tcPr>
          <w:p w:rsidR="00C94252" w:rsidRDefault="00A33443">
            <w:pPr>
              <w:pStyle w:val="TableParagraph"/>
              <w:spacing w:before="101"/>
              <w:ind w:left="12"/>
              <w:jc w:val="center"/>
              <w:rPr>
                <w:sz w:val="20"/>
              </w:rPr>
            </w:pPr>
            <w:r>
              <w:rPr>
                <w:w w:val="99"/>
                <w:sz w:val="20"/>
              </w:rPr>
              <w:t>8</w:t>
            </w:r>
          </w:p>
        </w:tc>
        <w:tc>
          <w:tcPr>
            <w:tcW w:w="2269" w:type="dxa"/>
            <w:tcBorders>
              <w:right w:val="single" w:sz="8" w:space="0" w:color="000000"/>
            </w:tcBorders>
          </w:tcPr>
          <w:p w:rsidR="00C94252" w:rsidRDefault="00A33443">
            <w:pPr>
              <w:pStyle w:val="TableParagraph"/>
              <w:spacing w:line="221" w:lineRule="exact"/>
              <w:ind w:left="109"/>
              <w:rPr>
                <w:b/>
                <w:sz w:val="20"/>
              </w:rPr>
            </w:pPr>
            <w:r>
              <w:rPr>
                <w:b/>
                <w:sz w:val="20"/>
              </w:rPr>
              <w:t>**Lack of self-</w:t>
            </w:r>
          </w:p>
          <w:p w:rsidR="00C94252" w:rsidRDefault="00A33443">
            <w:pPr>
              <w:pStyle w:val="TableParagraph"/>
              <w:spacing w:line="219" w:lineRule="exact"/>
              <w:ind w:left="109"/>
              <w:rPr>
                <w:b/>
                <w:sz w:val="20"/>
              </w:rPr>
            </w:pPr>
            <w:r>
              <w:rPr>
                <w:b/>
                <w:sz w:val="20"/>
              </w:rPr>
              <w:t>organization culture</w:t>
            </w:r>
          </w:p>
        </w:tc>
        <w:tc>
          <w:tcPr>
            <w:tcW w:w="711"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5"/>
              <w:jc w:val="right"/>
              <w:rPr>
                <w:sz w:val="20"/>
              </w:rPr>
            </w:pPr>
            <w:r>
              <w:rPr>
                <w:sz w:val="20"/>
              </w:rPr>
              <w:t>67</w:t>
            </w:r>
          </w:p>
        </w:tc>
        <w:tc>
          <w:tcPr>
            <w:tcW w:w="709" w:type="dxa"/>
            <w:tcBorders>
              <w:righ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3"/>
              <w:jc w:val="right"/>
              <w:rPr>
                <w:sz w:val="20"/>
              </w:rPr>
            </w:pPr>
            <w:r>
              <w:rPr>
                <w:sz w:val="20"/>
              </w:rPr>
              <w:t>3,36</w:t>
            </w:r>
          </w:p>
        </w:tc>
        <w:tc>
          <w:tcPr>
            <w:tcW w:w="993" w:type="dxa"/>
            <w:tcBorders>
              <w:left w:val="single" w:sz="8" w:space="0" w:color="000000"/>
            </w:tcBorders>
          </w:tcPr>
          <w:p w:rsidR="00C94252" w:rsidRDefault="00C94252">
            <w:pPr>
              <w:pStyle w:val="TableParagraph"/>
              <w:spacing w:before="9"/>
              <w:rPr>
                <w:sz w:val="18"/>
              </w:rPr>
            </w:pPr>
          </w:p>
          <w:p w:rsidR="00C94252" w:rsidRDefault="00A33443">
            <w:pPr>
              <w:pStyle w:val="TableParagraph"/>
              <w:spacing w:line="224" w:lineRule="exact"/>
              <w:ind w:right="99"/>
              <w:jc w:val="right"/>
              <w:rPr>
                <w:sz w:val="20"/>
              </w:rPr>
            </w:pPr>
            <w:r>
              <w:rPr>
                <w:sz w:val="20"/>
              </w:rPr>
              <w:t>2,62</w:t>
            </w:r>
          </w:p>
        </w:tc>
        <w:tc>
          <w:tcPr>
            <w:tcW w:w="995" w:type="dxa"/>
          </w:tcPr>
          <w:p w:rsidR="00C94252" w:rsidRDefault="00C94252">
            <w:pPr>
              <w:pStyle w:val="TableParagraph"/>
              <w:spacing w:before="9"/>
              <w:rPr>
                <w:sz w:val="18"/>
              </w:rPr>
            </w:pPr>
          </w:p>
          <w:p w:rsidR="00C94252" w:rsidRDefault="00A33443">
            <w:pPr>
              <w:pStyle w:val="TableParagraph"/>
              <w:spacing w:line="224" w:lineRule="exact"/>
              <w:ind w:right="100"/>
              <w:jc w:val="right"/>
              <w:rPr>
                <w:sz w:val="20"/>
              </w:rPr>
            </w:pPr>
            <w:r>
              <w:rPr>
                <w:sz w:val="20"/>
              </w:rPr>
              <w:t>3,21</w:t>
            </w:r>
          </w:p>
        </w:tc>
        <w:tc>
          <w:tcPr>
            <w:tcW w:w="1134" w:type="dxa"/>
          </w:tcPr>
          <w:p w:rsidR="00C94252" w:rsidRDefault="00C94252">
            <w:pPr>
              <w:pStyle w:val="TableParagraph"/>
              <w:spacing w:before="9"/>
              <w:rPr>
                <w:sz w:val="18"/>
              </w:rPr>
            </w:pPr>
          </w:p>
          <w:p w:rsidR="00C94252" w:rsidRDefault="00A33443">
            <w:pPr>
              <w:pStyle w:val="TableParagraph"/>
              <w:spacing w:line="224" w:lineRule="exact"/>
              <w:ind w:right="102"/>
              <w:jc w:val="right"/>
              <w:rPr>
                <w:sz w:val="20"/>
              </w:rPr>
            </w:pPr>
            <w:r>
              <w:rPr>
                <w:sz w:val="20"/>
              </w:rPr>
              <w:t>3,77</w:t>
            </w:r>
          </w:p>
        </w:tc>
        <w:tc>
          <w:tcPr>
            <w:tcW w:w="955" w:type="dxa"/>
          </w:tcPr>
          <w:p w:rsidR="00C94252" w:rsidRDefault="00C94252">
            <w:pPr>
              <w:pStyle w:val="TableParagraph"/>
              <w:spacing w:before="9"/>
              <w:rPr>
                <w:sz w:val="18"/>
              </w:rPr>
            </w:pPr>
          </w:p>
          <w:p w:rsidR="00C94252" w:rsidRDefault="00A33443">
            <w:pPr>
              <w:pStyle w:val="TableParagraph"/>
              <w:spacing w:line="224" w:lineRule="exact"/>
              <w:ind w:right="103"/>
              <w:jc w:val="right"/>
              <w:rPr>
                <w:sz w:val="20"/>
              </w:rPr>
            </w:pPr>
            <w:r>
              <w:rPr>
                <w:sz w:val="20"/>
              </w:rPr>
              <w:t>3,56</w:t>
            </w:r>
          </w:p>
        </w:tc>
        <w:tc>
          <w:tcPr>
            <w:tcW w:w="690" w:type="dxa"/>
          </w:tcPr>
          <w:p w:rsidR="00C94252" w:rsidRDefault="00C94252">
            <w:pPr>
              <w:pStyle w:val="TableParagraph"/>
              <w:spacing w:before="2"/>
              <w:rPr>
                <w:sz w:val="19"/>
              </w:rPr>
            </w:pPr>
          </w:p>
          <w:p w:rsidR="00C94252" w:rsidRDefault="00A33443">
            <w:pPr>
              <w:pStyle w:val="TableParagraph"/>
              <w:spacing w:line="219" w:lineRule="exact"/>
              <w:ind w:left="102" w:right="88"/>
              <w:jc w:val="center"/>
              <w:rPr>
                <w:b/>
                <w:sz w:val="20"/>
              </w:rPr>
            </w:pPr>
            <w:r>
              <w:rPr>
                <w:b/>
                <w:sz w:val="20"/>
              </w:rPr>
              <w:t>0,045</w:t>
            </w:r>
          </w:p>
        </w:tc>
      </w:tr>
    </w:tbl>
    <w:p w:rsidR="00C94252" w:rsidRDefault="00C94252">
      <w:pPr>
        <w:pStyle w:val="Brdtekst"/>
        <w:rPr>
          <w:sz w:val="20"/>
        </w:rPr>
      </w:pPr>
    </w:p>
    <w:p w:rsidR="00C94252" w:rsidRDefault="00C94252">
      <w:pPr>
        <w:pStyle w:val="Brdtekst"/>
        <w:rPr>
          <w:sz w:val="20"/>
        </w:rPr>
      </w:pPr>
    </w:p>
    <w:p w:rsidR="00C94252" w:rsidRDefault="00C94252">
      <w:pPr>
        <w:pStyle w:val="Brdtekst"/>
        <w:rPr>
          <w:sz w:val="20"/>
        </w:rPr>
      </w:pPr>
    </w:p>
    <w:p w:rsidR="00C94252" w:rsidRDefault="00C94252">
      <w:pPr>
        <w:pStyle w:val="Brdtekst"/>
        <w:rPr>
          <w:sz w:val="20"/>
        </w:rPr>
      </w:pPr>
    </w:p>
    <w:p w:rsidR="00C94252" w:rsidRDefault="00A33443">
      <w:pPr>
        <w:pStyle w:val="Overskrift1"/>
        <w:spacing w:before="219"/>
      </w:pPr>
      <w:r>
        <w:t>References</w:t>
      </w:r>
    </w:p>
    <w:p w:rsidR="00C94252" w:rsidRDefault="00A33443">
      <w:pPr>
        <w:pStyle w:val="Brdtekst"/>
        <w:spacing w:before="94"/>
        <w:ind w:left="399" w:right="273" w:hanging="284"/>
      </w:pPr>
      <w:r>
        <w:t xml:space="preserve">Aitken, M., 2010. Why we still don’t understand the social aspects of wind power: A critique of key assumptions within the literature. </w:t>
      </w:r>
      <w:r>
        <w:rPr>
          <w:i/>
        </w:rPr>
        <w:t xml:space="preserve">Energy Policy </w:t>
      </w:r>
      <w:r>
        <w:t>38, 1834–1841.</w:t>
      </w:r>
    </w:p>
    <w:p w:rsidR="00C94252" w:rsidRDefault="00A33443">
      <w:pPr>
        <w:pStyle w:val="Brdtekst"/>
        <w:spacing w:before="161"/>
        <w:ind w:left="399" w:right="536" w:hanging="284"/>
      </w:pPr>
      <w:r>
        <w:t>Aitken, M., Haggett, C., Rudolph, D., 2016. Practices and rationales of community engagement</w:t>
      </w:r>
      <w:r>
        <w:t xml:space="preserve"> with wind farms: awareness raising, consultation, empowerment. </w:t>
      </w:r>
      <w:r>
        <w:rPr>
          <w:i/>
        </w:rPr>
        <w:t xml:space="preserve">Planning Theory &amp; Practice </w:t>
      </w:r>
      <w:r>
        <w:t>17, 557–576.</w:t>
      </w:r>
    </w:p>
    <w:p w:rsidR="00C94252" w:rsidRDefault="00A33443">
      <w:pPr>
        <w:spacing w:before="161"/>
        <w:ind w:left="399" w:right="433" w:hanging="284"/>
        <w:rPr>
          <w:sz w:val="24"/>
        </w:rPr>
      </w:pPr>
      <w:r>
        <w:rPr>
          <w:sz w:val="24"/>
        </w:rPr>
        <w:t xml:space="preserve">Albrechts, L., 2006. Bridge the Gap: From Spatial Planning to Strategic Projects. </w:t>
      </w:r>
      <w:r>
        <w:rPr>
          <w:i/>
          <w:sz w:val="24"/>
        </w:rPr>
        <w:t xml:space="preserve">European Planning Studies </w:t>
      </w:r>
      <w:r>
        <w:rPr>
          <w:sz w:val="24"/>
        </w:rPr>
        <w:t>14, 1487–1500.</w:t>
      </w:r>
    </w:p>
    <w:p w:rsidR="00C94252" w:rsidRDefault="00A33443">
      <w:pPr>
        <w:pStyle w:val="Brdtekst"/>
        <w:spacing w:before="158"/>
        <w:ind w:left="399" w:right="1046" w:hanging="284"/>
      </w:pPr>
      <w:r>
        <w:t xml:space="preserve">Anderson, C., 2013. The networked minority: How a small group prevailed in a local windfarm conflict. </w:t>
      </w:r>
      <w:r>
        <w:rPr>
          <w:i/>
        </w:rPr>
        <w:t xml:space="preserve">Energy Policy </w:t>
      </w:r>
      <w:r>
        <w:t>58, 97–108.</w:t>
      </w:r>
    </w:p>
    <w:p w:rsidR="00C94252" w:rsidRDefault="00A33443">
      <w:pPr>
        <w:pStyle w:val="Brdtekst"/>
        <w:spacing w:before="161"/>
        <w:ind w:left="399" w:right="273" w:hanging="284"/>
      </w:pPr>
      <w:r>
        <w:t>Bamert, M., Ströbele, M., Buchecker, M., 2016. Ramshackle farmhouses, useless old stables, or irreplaceable cultural heritage? L</w:t>
      </w:r>
      <w:r>
        <w:t xml:space="preserve">ocal inhabitants’ perspectives on future uses of the Walser built heritage. </w:t>
      </w:r>
      <w:r>
        <w:rPr>
          <w:i/>
        </w:rPr>
        <w:t xml:space="preserve">Land Use Policy </w:t>
      </w:r>
      <w:r>
        <w:t>55, 121–129.</w:t>
      </w:r>
    </w:p>
    <w:p w:rsidR="00C94252" w:rsidRDefault="00A33443">
      <w:pPr>
        <w:pStyle w:val="Brdtekst"/>
        <w:spacing w:before="159"/>
        <w:ind w:left="399" w:right="325" w:hanging="284"/>
      </w:pPr>
      <w:r>
        <w:t xml:space="preserve">Ban, M., Perković, L., Duić, N., Penedo, R., 2013. Estimating the spatial distribution of high altitude wind energy potential in Southeast Europe. </w:t>
      </w:r>
      <w:r>
        <w:rPr>
          <w:i/>
        </w:rPr>
        <w:t>Ener</w:t>
      </w:r>
      <w:r>
        <w:rPr>
          <w:i/>
        </w:rPr>
        <w:t xml:space="preserve">gy </w:t>
      </w:r>
      <w:r>
        <w:t>57, 24–29.</w:t>
      </w:r>
    </w:p>
    <w:p w:rsidR="00C94252" w:rsidRDefault="00A33443">
      <w:pPr>
        <w:spacing w:before="161"/>
        <w:ind w:left="399" w:right="715" w:hanging="284"/>
        <w:rPr>
          <w:sz w:val="24"/>
        </w:rPr>
      </w:pPr>
      <w:r>
        <w:rPr>
          <w:sz w:val="24"/>
        </w:rPr>
        <w:t xml:space="preserve">Bonifazi, A., Rega, C., Gazzola, P., 2011. Strategic environmental assessment and the democratisation of spatial planning. </w:t>
      </w:r>
      <w:r>
        <w:rPr>
          <w:i/>
          <w:sz w:val="24"/>
        </w:rPr>
        <w:t xml:space="preserve">Journal of Environmental Assessment Policy and Management </w:t>
      </w:r>
      <w:r>
        <w:rPr>
          <w:sz w:val="24"/>
        </w:rPr>
        <w:t>13, 9–37.</w:t>
      </w:r>
    </w:p>
    <w:p w:rsidR="00C94252" w:rsidRDefault="00A33443">
      <w:pPr>
        <w:pStyle w:val="Brdtekst"/>
        <w:spacing w:before="161"/>
        <w:ind w:left="399" w:right="553" w:hanging="284"/>
      </w:pPr>
      <w:r>
        <w:t>Bosetti, V., Catenacci, M., Fiorese, G., Verdolini,</w:t>
      </w:r>
      <w:r>
        <w:t xml:space="preserve"> E., 2012. The future prospect of PV and CSP solar technologies: An expert elicitation survey. </w:t>
      </w:r>
      <w:r>
        <w:rPr>
          <w:i/>
        </w:rPr>
        <w:t xml:space="preserve">Energy Policy </w:t>
      </w:r>
      <w:r>
        <w:t>49, 308–317.</w:t>
      </w:r>
    </w:p>
    <w:p w:rsidR="00C94252" w:rsidRDefault="00A33443">
      <w:pPr>
        <w:pStyle w:val="Brdtekst"/>
        <w:spacing w:before="159"/>
        <w:ind w:left="399" w:right="846" w:hanging="284"/>
      </w:pPr>
      <w:r>
        <w:t xml:space="preserve">Breukers, S., Wolsink, M., 2007. Wind power implementation in changing institutional landscapes: An international comparison. </w:t>
      </w:r>
      <w:r>
        <w:rPr>
          <w:i/>
        </w:rPr>
        <w:t>Energy P</w:t>
      </w:r>
      <w:r>
        <w:rPr>
          <w:i/>
        </w:rPr>
        <w:t xml:space="preserve">olicy </w:t>
      </w:r>
      <w:r>
        <w:t>35, 2737–2750.</w:t>
      </w:r>
    </w:p>
    <w:p w:rsidR="00C94252" w:rsidRDefault="00A33443">
      <w:pPr>
        <w:pStyle w:val="Brdtekst"/>
        <w:spacing w:before="161"/>
        <w:ind w:left="399" w:right="187" w:hanging="284"/>
      </w:pPr>
      <w:r>
        <w:t xml:space="preserve">Buchecker, M., Menzel, S., Home, R., 2013. How much does participatory flood management contribute to stakeholders’ social capacity building? Empirical findings based on a triangulation of three evaluation approaches. </w:t>
      </w:r>
      <w:r>
        <w:rPr>
          <w:i/>
        </w:rPr>
        <w:t xml:space="preserve">Natural Hazards and Earth System Science </w:t>
      </w:r>
      <w:r>
        <w:t>13, 1427–1444.</w:t>
      </w:r>
    </w:p>
    <w:p w:rsidR="00C94252" w:rsidRDefault="00A33443">
      <w:pPr>
        <w:pStyle w:val="Brdtekst"/>
        <w:spacing w:before="160"/>
        <w:ind w:left="399" w:right="167" w:hanging="284"/>
      </w:pPr>
      <w:r>
        <w:t xml:space="preserve">Cowell, R., 2010. Wind power, landscape and strategic, spatial planning—The construction of “acceptable locations” in Wales. </w:t>
      </w:r>
      <w:r>
        <w:rPr>
          <w:i/>
        </w:rPr>
        <w:t xml:space="preserve">Land Use Policy </w:t>
      </w:r>
      <w:r>
        <w:t>27, 222–232.</w:t>
      </w:r>
    </w:p>
    <w:p w:rsidR="00C94252" w:rsidRDefault="00C94252">
      <w:pPr>
        <w:sectPr w:rsidR="00C94252">
          <w:pgSz w:w="11900" w:h="16850"/>
          <w:pgMar w:top="1420" w:right="1240" w:bottom="940" w:left="1300" w:header="0" w:footer="751" w:gutter="0"/>
          <w:cols w:space="708"/>
        </w:sectPr>
      </w:pPr>
    </w:p>
    <w:p w:rsidR="00C94252" w:rsidRDefault="00A33443">
      <w:pPr>
        <w:pStyle w:val="Brdtekst"/>
        <w:spacing w:before="69"/>
        <w:ind w:left="399" w:right="1086" w:hanging="284"/>
      </w:pPr>
      <w:r>
        <w:t xml:space="preserve">Dai, K., Bergot, A., Liang, </w:t>
      </w:r>
      <w:r>
        <w:t xml:space="preserve">C., Xiang, W.-N., Huang, Z., 2015. Environmental issues associated with wind energy – A review. </w:t>
      </w:r>
      <w:r>
        <w:rPr>
          <w:i/>
        </w:rPr>
        <w:t xml:space="preserve">Renewable Energy </w:t>
      </w:r>
      <w:r>
        <w:t>75, 911–921.</w:t>
      </w:r>
    </w:p>
    <w:p w:rsidR="00C94252" w:rsidRDefault="00A33443">
      <w:pPr>
        <w:pStyle w:val="Brdtekst"/>
        <w:spacing w:before="161"/>
        <w:ind w:left="399" w:right="426" w:hanging="284"/>
      </w:pPr>
      <w:r>
        <w:t>Delicado, A., Junqueira, L., Fonseca, S., Truninger, M., Silva, L., Horta, A., Figueiredo, E., 2014. Not in Anyone’s Backyard? Civ</w:t>
      </w:r>
      <w:r>
        <w:t xml:space="preserve">il Society Attitudes towards Wind Power at the National and Local Levels in Portugal. </w:t>
      </w:r>
      <w:r>
        <w:rPr>
          <w:i/>
        </w:rPr>
        <w:t xml:space="preserve">Science &amp; Technology Studies </w:t>
      </w:r>
      <w:r>
        <w:t>27, 49–71.</w:t>
      </w:r>
    </w:p>
    <w:p w:rsidR="00C94252" w:rsidRDefault="00A33443">
      <w:pPr>
        <w:pStyle w:val="Brdtekst"/>
        <w:spacing w:before="161"/>
        <w:ind w:left="399" w:right="221" w:hanging="284"/>
      </w:pPr>
      <w:r>
        <w:t>Devine-Wright, P., 2007. Reconsidering public acceptance of renewable energy technologies: a critical review. School of Environmen</w:t>
      </w:r>
      <w:r>
        <w:t>t and Development, University of Manchester.</w:t>
      </w:r>
    </w:p>
    <w:p w:rsidR="00C94252" w:rsidRDefault="00A33443">
      <w:pPr>
        <w:pStyle w:val="Brdtekst"/>
        <w:ind w:left="399" w:right="814"/>
      </w:pPr>
      <w:r>
        <w:t xml:space="preserve">Accessed at: </w:t>
      </w:r>
      <w:hyperlink r:id="rId30">
        <w:r>
          <w:rPr>
            <w:color w:val="0000FF"/>
            <w:u w:val="single" w:color="0000FF"/>
          </w:rPr>
          <w:t>https://doc.uments.com/download/s-reconsidering-public-attitudes-and-</w:t>
        </w:r>
      </w:hyperlink>
      <w:r>
        <w:rPr>
          <w:color w:val="0000FF"/>
        </w:rPr>
        <w:t xml:space="preserve"> </w:t>
      </w:r>
      <w:hyperlink r:id="rId31">
        <w:r>
          <w:rPr>
            <w:color w:val="0000FF"/>
            <w:u w:val="single" w:color="0000FF"/>
          </w:rPr>
          <w:t>public-acceptance-of-renewable.pdf</w:t>
        </w:r>
        <w:r>
          <w:rPr>
            <w:color w:val="0000FF"/>
          </w:rPr>
          <w:t xml:space="preserve"> </w:t>
        </w:r>
      </w:hyperlink>
      <w:r>
        <w:t>(03.07.2018).</w:t>
      </w:r>
    </w:p>
    <w:p w:rsidR="00C94252" w:rsidRDefault="00A33443">
      <w:pPr>
        <w:pStyle w:val="Brdtekst"/>
        <w:spacing w:before="159"/>
        <w:ind w:left="399" w:right="189" w:hanging="284"/>
      </w:pPr>
      <w:r>
        <w:t xml:space="preserve">Devine-Wright, P., Howes, Y., 2010. Disruption to place attachment and the protection of </w:t>
      </w:r>
      <w:r>
        <w:t xml:space="preserve">restorative environments: A wind energy case study. </w:t>
      </w:r>
      <w:r>
        <w:rPr>
          <w:i/>
        </w:rPr>
        <w:t xml:space="preserve">Journal of Environmental Psychology </w:t>
      </w:r>
      <w:r>
        <w:t>30, 271–280.</w:t>
      </w:r>
    </w:p>
    <w:p w:rsidR="00C94252" w:rsidRDefault="00A33443">
      <w:pPr>
        <w:pStyle w:val="Brdtekst"/>
        <w:spacing w:before="161"/>
        <w:ind w:left="399" w:right="400" w:hanging="284"/>
        <w:jc w:val="both"/>
      </w:pPr>
      <w:r>
        <w:t xml:space="preserve">Eiter, S., Vik, M.L., 2015. Public participation in landscape planning: Effective methods for implementing the European Landscape Convention in Norway. </w:t>
      </w:r>
      <w:r>
        <w:rPr>
          <w:i/>
        </w:rPr>
        <w:t>Lan</w:t>
      </w:r>
      <w:r>
        <w:rPr>
          <w:i/>
        </w:rPr>
        <w:t xml:space="preserve">d Use Policy </w:t>
      </w:r>
      <w:r>
        <w:t>44, 44– 53.</w:t>
      </w:r>
    </w:p>
    <w:p w:rsidR="00C94252" w:rsidRDefault="00A33443">
      <w:pPr>
        <w:pStyle w:val="Brdtekst"/>
        <w:spacing w:before="161"/>
        <w:ind w:left="399" w:right="281" w:hanging="284"/>
      </w:pPr>
      <w:r>
        <w:t xml:space="preserve">Ellis, G., Ferraro, G., 2016. The social acceptance of wind energy: Where we stand and the path ahead. Publications Office of the European Union. Accessed at: </w:t>
      </w:r>
      <w:hyperlink r:id="rId32">
        <w:r>
          <w:rPr>
            <w:color w:val="0000FF"/>
            <w:u w:val="single" w:color="0000FF"/>
          </w:rPr>
          <w:t>https://ec.europa.eu/jrc/en/publication/eur-scientific-and-technical-research-reports/social-</w:t>
        </w:r>
      </w:hyperlink>
      <w:r>
        <w:rPr>
          <w:color w:val="0000FF"/>
        </w:rPr>
        <w:t xml:space="preserve"> </w:t>
      </w:r>
      <w:hyperlink r:id="rId33">
        <w:r>
          <w:rPr>
            <w:color w:val="0000FF"/>
            <w:u w:val="single" w:color="0000FF"/>
          </w:rPr>
          <w:t>acceptance-wind-energy-where-we-stand-and-path-ahead</w:t>
        </w:r>
        <w:r>
          <w:rPr>
            <w:color w:val="0000FF"/>
          </w:rPr>
          <w:t xml:space="preserve"> </w:t>
        </w:r>
      </w:hyperlink>
      <w:r>
        <w:t>(03.07.2018).</w:t>
      </w:r>
    </w:p>
    <w:p w:rsidR="00C94252" w:rsidRDefault="00A33443">
      <w:pPr>
        <w:pStyle w:val="Brdtekst"/>
        <w:spacing w:before="159"/>
        <w:ind w:left="399" w:right="785" w:hanging="284"/>
        <w:jc w:val="both"/>
      </w:pPr>
      <w:r>
        <w:t xml:space="preserve">Enevoldsen, P., Sovacool, B.K., 2016. Examining the social acceptance of wind energy: Practical guidelines for onshore wind project development in France. </w:t>
      </w:r>
      <w:r>
        <w:rPr>
          <w:i/>
        </w:rPr>
        <w:t xml:space="preserve">Renewable and Sustainable Energy Reviews </w:t>
      </w:r>
      <w:r>
        <w:t>53, 178–184.</w:t>
      </w:r>
    </w:p>
    <w:p w:rsidR="00C94252" w:rsidRDefault="00A33443">
      <w:pPr>
        <w:pStyle w:val="Brdtekst"/>
        <w:spacing w:before="161"/>
        <w:ind w:left="399" w:right="167" w:hanging="284"/>
      </w:pPr>
      <w:r>
        <w:t>ENTSO-E. 2016. European network of transmission</w:t>
      </w:r>
      <w:r>
        <w:t xml:space="preserve"> system operators for electricity. Database accessible at: </w:t>
      </w:r>
      <w:hyperlink r:id="rId34">
        <w:r>
          <w:rPr>
            <w:color w:val="0462C1"/>
            <w:u w:val="single" w:color="0462C1"/>
          </w:rPr>
          <w:t>https://www.entsoe.eu/data/statistics/Pages/default.aspx</w:t>
        </w:r>
        <w:r>
          <w:rPr>
            <w:color w:val="0462C1"/>
          </w:rPr>
          <w:t xml:space="preserve"> </w:t>
        </w:r>
      </w:hyperlink>
      <w:r>
        <w:t>(05.03.2018).</w:t>
      </w:r>
    </w:p>
    <w:p w:rsidR="00C94252" w:rsidRDefault="00A33443">
      <w:pPr>
        <w:pStyle w:val="Brdtekst"/>
        <w:spacing w:before="161"/>
        <w:ind w:left="116"/>
      </w:pPr>
      <w:r>
        <w:t>Fast, S., 2013. Social acceptance of renewable energy: trends, concepts, and geographies.</w:t>
      </w:r>
    </w:p>
    <w:p w:rsidR="00C94252" w:rsidRDefault="00A33443">
      <w:pPr>
        <w:ind w:left="399"/>
        <w:rPr>
          <w:sz w:val="24"/>
        </w:rPr>
      </w:pPr>
      <w:r>
        <w:rPr>
          <w:i/>
          <w:sz w:val="24"/>
        </w:rPr>
        <w:t xml:space="preserve">Geography Compass </w:t>
      </w:r>
      <w:r>
        <w:rPr>
          <w:sz w:val="24"/>
        </w:rPr>
        <w:t>7, 853–866.</w:t>
      </w:r>
    </w:p>
    <w:p w:rsidR="00C94252" w:rsidRDefault="00A33443">
      <w:pPr>
        <w:spacing w:before="158"/>
        <w:ind w:left="399" w:right="336" w:hanging="284"/>
        <w:rPr>
          <w:sz w:val="24"/>
        </w:rPr>
      </w:pPr>
      <w:r>
        <w:rPr>
          <w:sz w:val="24"/>
        </w:rPr>
        <w:t>Fournis, Y., Fortin, M.-J., 2017. From social “acceptance” to social “acceptability” of wind energy projects: towards a territorial pers</w:t>
      </w:r>
      <w:r>
        <w:rPr>
          <w:sz w:val="24"/>
        </w:rPr>
        <w:t xml:space="preserve">pective. </w:t>
      </w:r>
      <w:r>
        <w:rPr>
          <w:i/>
          <w:sz w:val="24"/>
        </w:rPr>
        <w:t xml:space="preserve">Journal of Environmental Planning and Management </w:t>
      </w:r>
      <w:r>
        <w:rPr>
          <w:sz w:val="24"/>
        </w:rPr>
        <w:t>60, 1–21.</w:t>
      </w:r>
    </w:p>
    <w:p w:rsidR="00C94252" w:rsidRDefault="00A33443">
      <w:pPr>
        <w:pStyle w:val="Brdtekst"/>
        <w:spacing w:before="161"/>
        <w:ind w:left="399" w:right="562" w:hanging="284"/>
      </w:pPr>
      <w:r>
        <w:t>Frantál, B., Bevk, T., van Veelen, B., Harmanescu, M., Benediktsson, K., 2017. The importance of on-site evaluation for placing renewable energy in the landscape: A case studyof the Búrfel</w:t>
      </w:r>
      <w:r>
        <w:t xml:space="preserve">l wind farm (Iceland). </w:t>
      </w:r>
      <w:r>
        <w:rPr>
          <w:i/>
        </w:rPr>
        <w:t xml:space="preserve">Moravian Geographical Reports </w:t>
      </w:r>
      <w:r>
        <w:t>25, 234–247.</w:t>
      </w:r>
    </w:p>
    <w:p w:rsidR="00C94252" w:rsidRDefault="00A33443">
      <w:pPr>
        <w:pStyle w:val="Brdtekst"/>
        <w:spacing w:before="159"/>
        <w:ind w:left="399" w:right="833" w:hanging="284"/>
      </w:pPr>
      <w:r>
        <w:t xml:space="preserve">Frantál, B., Kucera, P., 2009. Impacts of the operation of wind turbines as perceived by residents in concerned areas. </w:t>
      </w:r>
      <w:r>
        <w:rPr>
          <w:i/>
        </w:rPr>
        <w:t xml:space="preserve">Moravian Geographical Reports </w:t>
      </w:r>
      <w:r>
        <w:t>17(2), 34–45.</w:t>
      </w:r>
    </w:p>
    <w:p w:rsidR="00C94252" w:rsidRDefault="00A33443">
      <w:pPr>
        <w:pStyle w:val="Brdtekst"/>
        <w:spacing w:before="161"/>
        <w:ind w:left="399" w:right="503" w:hanging="284"/>
      </w:pPr>
      <w:r>
        <w:t>Frantál, B., Van der Horst,</w:t>
      </w:r>
      <w:r>
        <w:t xml:space="preserve"> D., Martinát, S., Schmitz, S., Silva, L., Golobic, M., Roth, M. 2018. Spatial targeting, synergies and scale: Exploring the criteria of smart practices for siting renewable energy projects. </w:t>
      </w:r>
      <w:r>
        <w:rPr>
          <w:i/>
        </w:rPr>
        <w:t xml:space="preserve">Energy Policy </w:t>
      </w:r>
      <w:r>
        <w:t>120, 85–93.</w:t>
      </w:r>
    </w:p>
    <w:p w:rsidR="00C94252" w:rsidRDefault="00A33443">
      <w:pPr>
        <w:pStyle w:val="Brdtekst"/>
        <w:spacing w:before="161"/>
        <w:ind w:left="399" w:right="466" w:hanging="284"/>
      </w:pPr>
      <w:r>
        <w:t>Gustafsson, S., Ivner, J., Palm, J., 20</w:t>
      </w:r>
      <w:r>
        <w:t xml:space="preserve">15. Management and stakeholder participation in local strategic energy planning – Examples from Sweden. </w:t>
      </w:r>
      <w:r>
        <w:rPr>
          <w:i/>
        </w:rPr>
        <w:t xml:space="preserve">Journal of Cleaner Production </w:t>
      </w:r>
      <w:r>
        <w:t>98, 205–212.</w:t>
      </w:r>
    </w:p>
    <w:p w:rsidR="00C94252" w:rsidRDefault="00C94252">
      <w:pPr>
        <w:sectPr w:rsidR="00C94252">
          <w:pgSz w:w="11900" w:h="16850"/>
          <w:pgMar w:top="1340" w:right="1240" w:bottom="940" w:left="1300" w:header="0" w:footer="751" w:gutter="0"/>
          <w:cols w:space="708"/>
        </w:sectPr>
      </w:pPr>
    </w:p>
    <w:p w:rsidR="00C94252" w:rsidRDefault="00A33443">
      <w:pPr>
        <w:pStyle w:val="Brdtekst"/>
        <w:spacing w:before="69"/>
        <w:ind w:left="399" w:right="360" w:hanging="284"/>
      </w:pPr>
      <w:r>
        <w:t>Haas, R., Panzer, C., Resch, G., Ragwitz, M., Reece, G., Held, A., 2011. A historical revie</w:t>
      </w:r>
      <w:r>
        <w:t>w of promotion strategies for electricity from renewable energy sources in EU countries.</w:t>
      </w:r>
    </w:p>
    <w:p w:rsidR="00C94252" w:rsidRDefault="00A33443">
      <w:pPr>
        <w:spacing w:before="1"/>
        <w:ind w:left="399"/>
        <w:rPr>
          <w:sz w:val="24"/>
        </w:rPr>
      </w:pPr>
      <w:r>
        <w:rPr>
          <w:i/>
          <w:sz w:val="24"/>
        </w:rPr>
        <w:t xml:space="preserve">Renewable and Sustainable Energy Reviews </w:t>
      </w:r>
      <w:r>
        <w:rPr>
          <w:sz w:val="24"/>
        </w:rPr>
        <w:t>15, 1003–1034.</w:t>
      </w:r>
    </w:p>
    <w:p w:rsidR="00C94252" w:rsidRDefault="00A33443">
      <w:pPr>
        <w:pStyle w:val="Brdtekst"/>
        <w:spacing w:before="161"/>
        <w:ind w:left="399" w:right="241" w:hanging="284"/>
      </w:pPr>
      <w:r>
        <w:t>Heiskanen, E., Hodson, M., Mourik, R.M., Raven, R.P.J.M., Feenstra, C.F.J., Alcantud, A., Brohmann, B., Daniels, A., Di Fiore, M., Farkas, B., Fritsche, U., Fucsko, J., Hünecke, K., Jolivet, E., Maack, M., Matschoss, K., Oniszk-Poplawska, A., Poti, B., Pra</w:t>
      </w:r>
      <w:r>
        <w:t xml:space="preserve">sad, G., Schaefer, B., Willemse, R., 2007. Factors influencing the societal acceptance of new energy technologies: Meta-analysis of recent European projects. Accessed at: </w:t>
      </w:r>
      <w:hyperlink r:id="rId35">
        <w:r>
          <w:rPr>
            <w:color w:val="0000FF"/>
            <w:u w:val="single" w:color="0000FF"/>
          </w:rPr>
          <w:t>http://www.e</w:t>
        </w:r>
        <w:r>
          <w:rPr>
            <w:color w:val="0000FF"/>
            <w:u w:val="single" w:color="0000FF"/>
          </w:rPr>
          <w:t>cn.nl/docs/library/report/2007/e07058.pdf</w:t>
        </w:r>
        <w:r>
          <w:rPr>
            <w:color w:val="0000FF"/>
          </w:rPr>
          <w:t xml:space="preserve"> </w:t>
        </w:r>
      </w:hyperlink>
      <w:r>
        <w:t>(05.03.2018).</w:t>
      </w:r>
    </w:p>
    <w:p w:rsidR="00C94252" w:rsidRDefault="00A33443">
      <w:pPr>
        <w:pStyle w:val="Brdtekst"/>
        <w:spacing w:before="160"/>
        <w:ind w:left="399" w:right="191" w:hanging="284"/>
      </w:pPr>
      <w:r>
        <w:t xml:space="preserve">Huijts, N.M.A., Molin, E.J.E., Steg, L., 2012. Psychological factors influencing sustainable energy technology acceptance: A review-based comprehensive framework. </w:t>
      </w:r>
      <w:r>
        <w:rPr>
          <w:i/>
        </w:rPr>
        <w:t>Renewable and Sustainable Energy Revi</w:t>
      </w:r>
      <w:r>
        <w:rPr>
          <w:i/>
        </w:rPr>
        <w:t xml:space="preserve">ews </w:t>
      </w:r>
      <w:r>
        <w:t>16, 525–531.</w:t>
      </w:r>
    </w:p>
    <w:p w:rsidR="00C94252" w:rsidRDefault="00A33443">
      <w:pPr>
        <w:pStyle w:val="Brdtekst"/>
        <w:spacing w:before="159"/>
        <w:ind w:left="399" w:right="524" w:hanging="284"/>
        <w:jc w:val="both"/>
      </w:pPr>
      <w:r>
        <w:t xml:space="preserve">Höltinger, S., Salak, B., Schauppenlehner, T., Scherhaufer, P., Schmidt, J., 2016. Austria’s wind energy potential – A participatory modeling approach to assess socio-political and market acceptance. </w:t>
      </w:r>
      <w:r>
        <w:rPr>
          <w:i/>
        </w:rPr>
        <w:t xml:space="preserve">Energy Policy </w:t>
      </w:r>
      <w:r>
        <w:t>98, 49–61.</w:t>
      </w:r>
    </w:p>
    <w:p w:rsidR="00C94252" w:rsidRDefault="00A33443">
      <w:pPr>
        <w:pStyle w:val="Brdtekst"/>
        <w:spacing w:before="161"/>
        <w:ind w:left="399" w:right="326" w:hanging="284"/>
      </w:pPr>
      <w:r>
        <w:t>Hyland, M., Be</w:t>
      </w:r>
      <w:r>
        <w:t xml:space="preserve">rtsch, V., 2018. The role of community involvement mechanisms in reducing resistance to energy infrastructure development. </w:t>
      </w:r>
      <w:r>
        <w:rPr>
          <w:i/>
        </w:rPr>
        <w:t xml:space="preserve">Ecological Economics </w:t>
      </w:r>
      <w:r>
        <w:t>146, 447–474.</w:t>
      </w:r>
    </w:p>
    <w:p w:rsidR="00C94252" w:rsidRDefault="00A33443">
      <w:pPr>
        <w:pStyle w:val="Brdtekst"/>
        <w:spacing w:before="161"/>
        <w:ind w:left="399" w:right="373" w:hanging="284"/>
      </w:pPr>
      <w:r>
        <w:t>Inglehart, R., Welzel, C., 2010. Changing Mass Priorities: The Link between Modernization and Demo</w:t>
      </w:r>
      <w:r>
        <w:t xml:space="preserve">cracy. </w:t>
      </w:r>
      <w:r>
        <w:rPr>
          <w:i/>
        </w:rPr>
        <w:t xml:space="preserve">Perspectives on Politics </w:t>
      </w:r>
      <w:r>
        <w:t>8, 551–567.</w:t>
      </w:r>
    </w:p>
    <w:p w:rsidR="00C94252" w:rsidRDefault="00A33443">
      <w:pPr>
        <w:pStyle w:val="Brdtekst"/>
        <w:spacing w:before="159"/>
        <w:ind w:left="399" w:right="309" w:hanging="284"/>
      </w:pPr>
      <w:r>
        <w:t xml:space="preserve">Jauhiainen, J.S., 2014. New spatial patterns and territorial–administrative structures in the European Union: reflections on Eastern Europe. </w:t>
      </w:r>
      <w:r>
        <w:rPr>
          <w:i/>
        </w:rPr>
        <w:t xml:space="preserve">European Planning Studies </w:t>
      </w:r>
      <w:r>
        <w:t>22, 694–711.</w:t>
      </w:r>
    </w:p>
    <w:p w:rsidR="00C94252" w:rsidRDefault="00A33443">
      <w:pPr>
        <w:pStyle w:val="Brdtekst"/>
        <w:spacing w:before="161"/>
        <w:ind w:left="399" w:right="783" w:hanging="284"/>
      </w:pPr>
      <w:r>
        <w:t>Jobert, A., Laborgne, P., Mimler</w:t>
      </w:r>
      <w:r>
        <w:t xml:space="preserve">, S., 2007. Local acceptance of wind energy: Factors of success identified in French and German case studies. </w:t>
      </w:r>
      <w:r>
        <w:rPr>
          <w:i/>
        </w:rPr>
        <w:t xml:space="preserve">Energy Policy </w:t>
      </w:r>
      <w:r>
        <w:t>35, 2751–2760.</w:t>
      </w:r>
    </w:p>
    <w:p w:rsidR="00C94252" w:rsidRDefault="00A33443">
      <w:pPr>
        <w:pStyle w:val="Brdtekst"/>
        <w:spacing w:before="161"/>
        <w:ind w:left="399" w:right="660" w:hanging="284"/>
      </w:pPr>
      <w:r>
        <w:t xml:space="preserve">Kaldellis, J.K., 2005. Social attitude towards wind energy applications in Greece. </w:t>
      </w:r>
      <w:r>
        <w:rPr>
          <w:i/>
        </w:rPr>
        <w:t xml:space="preserve">Energy Policy </w:t>
      </w:r>
      <w:r>
        <w:t>33, 595–602.</w:t>
      </w:r>
    </w:p>
    <w:p w:rsidR="00C94252" w:rsidRDefault="00A33443">
      <w:pPr>
        <w:pStyle w:val="Brdtekst"/>
        <w:spacing w:before="158"/>
        <w:ind w:left="399" w:right="230" w:hanging="284"/>
      </w:pPr>
      <w:r>
        <w:t>Karakos</w:t>
      </w:r>
      <w:r>
        <w:t xml:space="preserve">ta, C., Flouri, M., Dimopoulou, S., Psarras, J., 2012. Analysis of renewable energy progress in the western Balkan countries: Bosnia–Herzegovina and Serbia. </w:t>
      </w:r>
      <w:r>
        <w:rPr>
          <w:i/>
        </w:rPr>
        <w:t xml:space="preserve">Renewable and Sustainable Energy Reviews </w:t>
      </w:r>
      <w:r>
        <w:t>16, 5166–5175.</w:t>
      </w:r>
    </w:p>
    <w:p w:rsidR="00C94252" w:rsidRDefault="00A33443">
      <w:pPr>
        <w:pStyle w:val="Brdtekst"/>
        <w:spacing w:before="161"/>
        <w:ind w:left="399" w:right="433" w:hanging="284"/>
      </w:pPr>
      <w:r>
        <w:t xml:space="preserve">Knieling, J., Othengrafen, F., 2015. Planning culture—a concept to explain the evolution of planning policies and processes in Europe? </w:t>
      </w:r>
      <w:r>
        <w:rPr>
          <w:i/>
        </w:rPr>
        <w:t xml:space="preserve">European Planning Studies </w:t>
      </w:r>
      <w:r>
        <w:t>23, 2133–2147.</w:t>
      </w:r>
    </w:p>
    <w:p w:rsidR="00C94252" w:rsidRDefault="00A33443">
      <w:pPr>
        <w:pStyle w:val="Brdtekst"/>
        <w:spacing w:before="159"/>
        <w:ind w:left="399" w:right="702" w:hanging="284"/>
      </w:pPr>
      <w:r>
        <w:t>Kontogianni, A., Tourkolias, C., Skourtos, M., Damigos, D., 2014. Planning globa</w:t>
      </w:r>
      <w:r>
        <w:t xml:space="preserve">lly, protesting locally: Patterns in community perceptions towards the installation of wind farms. </w:t>
      </w:r>
      <w:r>
        <w:rPr>
          <w:i/>
        </w:rPr>
        <w:t xml:space="preserve">Renewable Energy </w:t>
      </w:r>
      <w:r>
        <w:t>66, 170–177.</w:t>
      </w:r>
    </w:p>
    <w:p w:rsidR="00C94252" w:rsidRDefault="00A33443">
      <w:pPr>
        <w:pStyle w:val="Brdtekst"/>
        <w:spacing w:before="160"/>
        <w:ind w:left="399" w:right="664" w:hanging="284"/>
      </w:pPr>
      <w:r>
        <w:t xml:space="preserve">Langer, K., Decker, T., Menrad, K., 2017. Public participation in wind energy projects located in Germany: Which form of participation is the key to acceptance? </w:t>
      </w:r>
      <w:r>
        <w:rPr>
          <w:i/>
        </w:rPr>
        <w:t xml:space="preserve">Renewable Energy </w:t>
      </w:r>
      <w:r>
        <w:t>112, 63–73.</w:t>
      </w:r>
    </w:p>
    <w:p w:rsidR="00C94252" w:rsidRDefault="00A33443">
      <w:pPr>
        <w:spacing w:before="162"/>
        <w:ind w:left="399" w:right="207" w:hanging="284"/>
        <w:rPr>
          <w:sz w:val="24"/>
        </w:rPr>
      </w:pPr>
      <w:r>
        <w:rPr>
          <w:sz w:val="24"/>
        </w:rPr>
        <w:t>Langer, K., Decker, T., Roosen, J., Menrad, K., 2016. A qualitativ</w:t>
      </w:r>
      <w:r>
        <w:rPr>
          <w:sz w:val="24"/>
        </w:rPr>
        <w:t xml:space="preserve">e analysis to understand the acceptance of wind energy in Bavaria. </w:t>
      </w:r>
      <w:r>
        <w:rPr>
          <w:i/>
          <w:sz w:val="24"/>
        </w:rPr>
        <w:t xml:space="preserve">Renewable and Sustainable Energy Reviews </w:t>
      </w:r>
      <w:r>
        <w:rPr>
          <w:sz w:val="24"/>
        </w:rPr>
        <w:t>64, 248–259.</w:t>
      </w:r>
    </w:p>
    <w:p w:rsidR="00C94252" w:rsidRDefault="00A33443">
      <w:pPr>
        <w:pStyle w:val="Brdtekst"/>
        <w:spacing w:before="158"/>
        <w:ind w:left="399" w:right="893" w:hanging="284"/>
      </w:pPr>
      <w:r>
        <w:t xml:space="preserve">Lee, A. H., Chen, H. H., Kang, H. Y. 2009. Multi-criteria decision making on strategic selection of wind farms. </w:t>
      </w:r>
      <w:r>
        <w:rPr>
          <w:i/>
        </w:rPr>
        <w:t xml:space="preserve">Renewable Energy </w:t>
      </w:r>
      <w:r>
        <w:t>34(1),</w:t>
      </w:r>
      <w:r>
        <w:t xml:space="preserve"> 120–126.</w:t>
      </w:r>
    </w:p>
    <w:p w:rsidR="00C94252" w:rsidRDefault="00C94252">
      <w:pPr>
        <w:sectPr w:rsidR="00C94252">
          <w:pgSz w:w="11900" w:h="16850"/>
          <w:pgMar w:top="1340" w:right="1240" w:bottom="940" w:left="1300" w:header="0" w:footer="751" w:gutter="0"/>
          <w:cols w:space="708"/>
        </w:sectPr>
      </w:pPr>
    </w:p>
    <w:p w:rsidR="00C94252" w:rsidRDefault="00A33443">
      <w:pPr>
        <w:pStyle w:val="Brdtekst"/>
        <w:spacing w:before="69"/>
        <w:ind w:left="399" w:right="681" w:hanging="284"/>
      </w:pPr>
      <w:r>
        <w:t xml:space="preserve">Leibenath, M., Lintz, G., 2017. Understanding “landscape governance”: the case of wind energy landscapes in Germany. </w:t>
      </w:r>
      <w:r>
        <w:rPr>
          <w:i/>
        </w:rPr>
        <w:t xml:space="preserve">Landscape Research </w:t>
      </w:r>
      <w:r>
        <w:t>1–13.</w:t>
      </w:r>
    </w:p>
    <w:p w:rsidR="00C94252" w:rsidRDefault="00A33443">
      <w:pPr>
        <w:pStyle w:val="Brdtekst"/>
        <w:spacing w:before="161"/>
        <w:ind w:left="399" w:right="256" w:hanging="284"/>
        <w:jc w:val="both"/>
      </w:pPr>
      <w:r>
        <w:t>Leibenath, M., Wirth, P., Lintz, G., 2016. Just a talking shop? – Informal participato</w:t>
      </w:r>
      <w:r>
        <w:t xml:space="preserve">ry spatial planning for implementing state wind energy targets in Germany. </w:t>
      </w:r>
      <w:r>
        <w:rPr>
          <w:i/>
        </w:rPr>
        <w:t xml:space="preserve">Utilities Policy </w:t>
      </w:r>
      <w:r>
        <w:t>41, 206– 213.</w:t>
      </w:r>
    </w:p>
    <w:p w:rsidR="00C94252" w:rsidRDefault="00A33443">
      <w:pPr>
        <w:pStyle w:val="Brdtekst"/>
        <w:spacing w:before="161"/>
        <w:ind w:left="399" w:right="364" w:hanging="284"/>
      </w:pPr>
      <w:r>
        <w:t>Liebe, U., Bartczak, A., Meyerhoff, J., 2017. A turbine is not only a turbine: The role of social context and fairness characteristics for the local a</w:t>
      </w:r>
      <w:r>
        <w:t xml:space="preserve">cceptance of wind power. </w:t>
      </w:r>
      <w:r>
        <w:rPr>
          <w:i/>
        </w:rPr>
        <w:t xml:space="preserve">Energy Policy </w:t>
      </w:r>
      <w:r>
        <w:t>107, 300–308.</w:t>
      </w:r>
    </w:p>
    <w:p w:rsidR="00C94252" w:rsidRDefault="00A33443">
      <w:pPr>
        <w:pStyle w:val="Brdtekst"/>
        <w:spacing w:before="159"/>
        <w:ind w:left="399" w:right="720" w:hanging="284"/>
      </w:pPr>
      <w:r>
        <w:t xml:space="preserve">Liljenfeldt, J., 2015. Legitimacy and efficiency in planning processes—(how) does wind power change the situation? </w:t>
      </w:r>
      <w:r>
        <w:rPr>
          <w:i/>
        </w:rPr>
        <w:t xml:space="preserve">European Planning Studies </w:t>
      </w:r>
      <w:r>
        <w:t>23, 811–827.</w:t>
      </w:r>
    </w:p>
    <w:p w:rsidR="00C94252" w:rsidRDefault="00A33443">
      <w:pPr>
        <w:pStyle w:val="Brdtekst"/>
        <w:spacing w:before="161"/>
        <w:ind w:left="399" w:right="474" w:hanging="284"/>
      </w:pPr>
      <w:r>
        <w:t xml:space="preserve">McLaren Loring, J., 2007. Wind energy planning in England, Wales and Denmark: Factors influencing project success. </w:t>
      </w:r>
      <w:r>
        <w:rPr>
          <w:i/>
        </w:rPr>
        <w:t xml:space="preserve">Energy Policy </w:t>
      </w:r>
      <w:r>
        <w:t>35, 2648–2660.</w:t>
      </w:r>
    </w:p>
    <w:p w:rsidR="00C94252" w:rsidRDefault="00A33443">
      <w:pPr>
        <w:spacing w:before="161"/>
        <w:ind w:left="399" w:right="540" w:hanging="284"/>
        <w:rPr>
          <w:sz w:val="24"/>
        </w:rPr>
      </w:pPr>
      <w:r>
        <w:rPr>
          <w:sz w:val="24"/>
        </w:rPr>
        <w:t>Michalak, P., Zimny, J., 2011. Wind energy development in the world, Europe and Poland from 1995 to 2009; curren</w:t>
      </w:r>
      <w:r>
        <w:rPr>
          <w:sz w:val="24"/>
        </w:rPr>
        <w:t xml:space="preserve">t status and future perspectives. </w:t>
      </w:r>
      <w:r>
        <w:rPr>
          <w:i/>
          <w:sz w:val="24"/>
        </w:rPr>
        <w:t xml:space="preserve">Renewable and Sustainable Energy Reviews </w:t>
      </w:r>
      <w:r>
        <w:rPr>
          <w:sz w:val="24"/>
        </w:rPr>
        <w:t>15, 2330–2341.</w:t>
      </w:r>
    </w:p>
    <w:p w:rsidR="00C94252" w:rsidRDefault="00A33443">
      <w:pPr>
        <w:pStyle w:val="Brdtekst"/>
        <w:spacing w:before="159"/>
        <w:ind w:left="399" w:right="196" w:hanging="284"/>
      </w:pPr>
      <w:r>
        <w:t>Michel, A.H., Buchecker, M., Backhaus, N., 2015. Renewable energy, authenticity, and tourism: social acceptance of photovoltaic installations in a Swiss Alpine region</w:t>
      </w:r>
      <w:r>
        <w:t xml:space="preserve">. </w:t>
      </w:r>
      <w:r>
        <w:rPr>
          <w:i/>
        </w:rPr>
        <w:t xml:space="preserve">Mountain Research and Development </w:t>
      </w:r>
      <w:r>
        <w:t>35, 161–170.</w:t>
      </w:r>
    </w:p>
    <w:p w:rsidR="00C94252" w:rsidRDefault="00A33443">
      <w:pPr>
        <w:pStyle w:val="Brdtekst"/>
        <w:spacing w:before="160"/>
        <w:ind w:left="399" w:right="776" w:hanging="284"/>
        <w:jc w:val="both"/>
      </w:pPr>
      <w:r>
        <w:t xml:space="preserve">Munteanu, M., Servillo, L., 2014. Romanian Spatial Planning System: Post-Communist Dynamics of Change and Europeanization Processes. </w:t>
      </w:r>
      <w:r>
        <w:rPr>
          <w:i/>
        </w:rPr>
        <w:t xml:space="preserve">European Planning Studies </w:t>
      </w:r>
      <w:r>
        <w:t>22, 2248–2267.</w:t>
      </w:r>
    </w:p>
    <w:p w:rsidR="00C94252" w:rsidRDefault="00A33443">
      <w:pPr>
        <w:pStyle w:val="Brdtekst"/>
        <w:spacing w:before="161"/>
        <w:ind w:left="399" w:right="340" w:hanging="284"/>
      </w:pPr>
      <w:r>
        <w:t>Nadaï, A., van der Horst, D., 201</w:t>
      </w:r>
      <w:r>
        <w:t xml:space="preserve">0. Wind power planning, landscapes and publics. </w:t>
      </w:r>
      <w:r>
        <w:rPr>
          <w:i/>
        </w:rPr>
        <w:t xml:space="preserve">Land Use Policy </w:t>
      </w:r>
      <w:r>
        <w:t>27, 181–184.</w:t>
      </w:r>
    </w:p>
    <w:p w:rsidR="00C94252" w:rsidRDefault="00A33443">
      <w:pPr>
        <w:pStyle w:val="Brdtekst"/>
        <w:spacing w:before="159"/>
        <w:ind w:left="116"/>
      </w:pPr>
      <w:r>
        <w:t>Nadin, V., Stead, D., 2008. European Spatial Planning Systems, Social Models and Learning.</w:t>
      </w:r>
    </w:p>
    <w:p w:rsidR="00C94252" w:rsidRDefault="00A33443">
      <w:pPr>
        <w:ind w:left="399"/>
        <w:rPr>
          <w:sz w:val="24"/>
        </w:rPr>
      </w:pPr>
      <w:r>
        <w:rPr>
          <w:i/>
          <w:sz w:val="24"/>
        </w:rPr>
        <w:t xml:space="preserve">The Planning Review </w:t>
      </w:r>
      <w:r>
        <w:rPr>
          <w:sz w:val="24"/>
        </w:rPr>
        <w:t>44, 35–47.</w:t>
      </w:r>
    </w:p>
    <w:p w:rsidR="00C94252" w:rsidRDefault="00A33443">
      <w:pPr>
        <w:pStyle w:val="Brdtekst"/>
        <w:spacing w:before="161"/>
        <w:ind w:left="399" w:right="202" w:hanging="284"/>
      </w:pPr>
      <w:r>
        <w:t>Nadin, V., Stead, D., 2013. Opening up the compendium: an</w:t>
      </w:r>
      <w:r>
        <w:t xml:space="preserve"> evaluation of international comparative planning research methodologies. </w:t>
      </w:r>
      <w:r>
        <w:rPr>
          <w:i/>
        </w:rPr>
        <w:t xml:space="preserve">European Planning Studies </w:t>
      </w:r>
      <w:r>
        <w:t>21, 1542–1561.</w:t>
      </w:r>
    </w:p>
    <w:p w:rsidR="00C94252" w:rsidRDefault="00C94252">
      <w:pPr>
        <w:pStyle w:val="Brdtekst"/>
        <w:spacing w:before="2"/>
        <w:rPr>
          <w:sz w:val="21"/>
        </w:rPr>
      </w:pPr>
    </w:p>
    <w:p w:rsidR="00C94252" w:rsidRDefault="00A33443">
      <w:pPr>
        <w:pStyle w:val="Brdtekst"/>
        <w:spacing w:line="261" w:lineRule="auto"/>
        <w:ind w:left="399" w:right="171" w:hanging="284"/>
      </w:pPr>
      <w:r>
        <w:t>Nedović</w:t>
      </w:r>
      <w:r>
        <w:rPr>
          <w:rFonts w:ascii="Cambria Math" w:hAnsi="Cambria Math"/>
        </w:rPr>
        <w:t xml:space="preserve">‐ </w:t>
      </w:r>
      <w:r>
        <w:t>Budić, Z., Cavrić, B., 2006. Waves of planning: a framework for studying the evolution of planning systems and empirical insights f</w:t>
      </w:r>
      <w:r>
        <w:t xml:space="preserve">rom Serbia and Montenegro. </w:t>
      </w:r>
      <w:r>
        <w:rPr>
          <w:i/>
        </w:rPr>
        <w:t xml:space="preserve">Planning Perspectives </w:t>
      </w:r>
      <w:r>
        <w:t>21, 393–425.</w:t>
      </w:r>
    </w:p>
    <w:p w:rsidR="00C94252" w:rsidRDefault="00A33443">
      <w:pPr>
        <w:pStyle w:val="Brdtekst"/>
        <w:spacing w:before="135"/>
        <w:ind w:left="399" w:right="553" w:hanging="284"/>
      </w:pPr>
      <w:r>
        <w:t>Newman, P.K., Thornley, A., 1996. Urban Planning in Europe: International Competition, National Systems and Planning. Routledge, London: Routledge.</w:t>
      </w:r>
    </w:p>
    <w:p w:rsidR="00C94252" w:rsidRDefault="00A33443">
      <w:pPr>
        <w:pStyle w:val="Brdtekst"/>
        <w:spacing w:before="161"/>
        <w:ind w:left="399" w:right="213" w:hanging="284"/>
      </w:pPr>
      <w:r>
        <w:t xml:space="preserve">Ohl, C., Eichhorn, M., 2010. The mismatch between regional spatial planning for wind power development in Germany and national eligibility criteria for feed-in tariffs—A case study in West Saxony. </w:t>
      </w:r>
      <w:r>
        <w:rPr>
          <w:i/>
        </w:rPr>
        <w:t xml:space="preserve">Land Use Policy </w:t>
      </w:r>
      <w:r>
        <w:t>27, 243–254.</w:t>
      </w:r>
    </w:p>
    <w:p w:rsidR="00C94252" w:rsidRDefault="00A33443">
      <w:pPr>
        <w:pStyle w:val="Brdtekst"/>
        <w:spacing w:before="159"/>
        <w:ind w:left="399" w:right="370" w:hanging="284"/>
      </w:pPr>
      <w:r>
        <w:t>Oikonomou, E.K., Kilias, V., G</w:t>
      </w:r>
      <w:r>
        <w:t xml:space="preserve">oumas, A., Rigopoulos, A., Karakatsani, E., Damasiotis, M., Papastefanakis, D., Marini, N., 2009. Renewable energy sources (RES) projects and their barriers on a regional scale: The case study of wind parks in the Dodecanese islands, Greece. </w:t>
      </w:r>
      <w:r>
        <w:rPr>
          <w:i/>
        </w:rPr>
        <w:t xml:space="preserve">Energy Policy </w:t>
      </w:r>
      <w:r>
        <w:t>37, 4874–4883.</w:t>
      </w:r>
    </w:p>
    <w:p w:rsidR="00C94252" w:rsidRDefault="00A33443">
      <w:pPr>
        <w:pStyle w:val="Brdtekst"/>
        <w:spacing w:before="160"/>
        <w:ind w:left="399" w:right="500" w:hanging="284"/>
      </w:pPr>
      <w:r>
        <w:t xml:space="preserve">Othengrafen, F., 2010. Spatial planning as expression of culturised planning practices: The examples of Helsinki, Finland and Athens, Greece. </w:t>
      </w:r>
      <w:r>
        <w:rPr>
          <w:i/>
        </w:rPr>
        <w:t xml:space="preserve">Town Planning Review </w:t>
      </w:r>
      <w:r>
        <w:t>81, 83–110.</w:t>
      </w:r>
    </w:p>
    <w:p w:rsidR="00C94252" w:rsidRDefault="00C94252">
      <w:pPr>
        <w:sectPr w:rsidR="00C94252">
          <w:pgSz w:w="11900" w:h="16850"/>
          <w:pgMar w:top="1340" w:right="1240" w:bottom="940" w:left="1300" w:header="0" w:footer="751" w:gutter="0"/>
          <w:cols w:space="708"/>
        </w:sectPr>
      </w:pPr>
    </w:p>
    <w:p w:rsidR="00C94252" w:rsidRDefault="00A33443">
      <w:pPr>
        <w:pStyle w:val="Brdtekst"/>
        <w:spacing w:before="69"/>
        <w:ind w:left="399" w:right="753" w:hanging="284"/>
      </w:pPr>
      <w:r>
        <w:t xml:space="preserve">Ottinger, G., Hargrave, T.J., Hopson, E., 2014. </w:t>
      </w:r>
      <w:r>
        <w:t xml:space="preserve">Procedural justice in wind facility siting: Recommendations for state-led siting processes. </w:t>
      </w:r>
      <w:r>
        <w:rPr>
          <w:i/>
        </w:rPr>
        <w:t xml:space="preserve">Energy Policy </w:t>
      </w:r>
      <w:r>
        <w:t>65, 662–669.</w:t>
      </w:r>
    </w:p>
    <w:p w:rsidR="00C94252" w:rsidRDefault="00A33443">
      <w:pPr>
        <w:pStyle w:val="Brdtekst"/>
        <w:spacing w:before="161"/>
        <w:ind w:left="399" w:right="322" w:hanging="284"/>
      </w:pPr>
      <w:r>
        <w:t>Paloniemi, R., Apostolopoulou, E., Cent, J., Bormpoudakis, D., Scott, A., Grodzińska- Jurczak, M., Tzanopoulos, J., Koivulehto, M., Pietr</w:t>
      </w:r>
      <w:r>
        <w:t xml:space="preserve">zyk-Kaszyńska, A., Pantis, J.D., 2015. Public Participation and Environmental Justice in Biodiversity Governance in Finland, Greece, Poland and the UK. </w:t>
      </w:r>
      <w:r>
        <w:rPr>
          <w:i/>
        </w:rPr>
        <w:t xml:space="preserve">Environmental Policy and Governance </w:t>
      </w:r>
      <w:r>
        <w:t>25, 330–342.</w:t>
      </w:r>
    </w:p>
    <w:p w:rsidR="00C94252" w:rsidRDefault="00A33443">
      <w:pPr>
        <w:pStyle w:val="Brdtekst"/>
        <w:spacing w:before="161"/>
        <w:ind w:left="116"/>
      </w:pPr>
      <w:r>
        <w:t>Pasqualetti, M.J., 2011. Opposing Wind Energy Landscape</w:t>
      </w:r>
      <w:r>
        <w:t>s: A Search for Common Cause.</w:t>
      </w:r>
    </w:p>
    <w:p w:rsidR="00C94252" w:rsidRDefault="00A33443">
      <w:pPr>
        <w:ind w:left="399"/>
        <w:rPr>
          <w:sz w:val="24"/>
        </w:rPr>
      </w:pPr>
      <w:r>
        <w:rPr>
          <w:i/>
          <w:sz w:val="24"/>
        </w:rPr>
        <w:t xml:space="preserve">Annals of the Association of American Geographers </w:t>
      </w:r>
      <w:r>
        <w:rPr>
          <w:sz w:val="24"/>
        </w:rPr>
        <w:t>101, 907–917.</w:t>
      </w:r>
    </w:p>
    <w:p w:rsidR="00C94252" w:rsidRDefault="00A33443">
      <w:pPr>
        <w:pStyle w:val="Brdtekst"/>
        <w:spacing w:before="159"/>
        <w:ind w:left="399" w:right="953" w:hanging="284"/>
      </w:pPr>
      <w:r>
        <w:t xml:space="preserve">Pepermans, Y., Loots, I., 2013. Wind farm struggles in Flanders fields: A sociological perspective. </w:t>
      </w:r>
      <w:r>
        <w:rPr>
          <w:i/>
        </w:rPr>
        <w:t xml:space="preserve">Energy Policy </w:t>
      </w:r>
      <w:r>
        <w:t>59, 321–328.</w:t>
      </w:r>
    </w:p>
    <w:p w:rsidR="00C94252" w:rsidRDefault="00A33443">
      <w:pPr>
        <w:pStyle w:val="Brdtekst"/>
        <w:spacing w:before="161"/>
        <w:ind w:left="399" w:right="296" w:hanging="284"/>
      </w:pPr>
      <w:r>
        <w:t xml:space="preserve">Phylip-Jones, J., Fischer, T.B., 2015. Strategic environmental assessment (SEA) for wind energy planning: Lessons from the United Kingdom and Germany. </w:t>
      </w:r>
      <w:r>
        <w:rPr>
          <w:i/>
        </w:rPr>
        <w:t xml:space="preserve">Environmental Impact Assessment Review </w:t>
      </w:r>
      <w:r>
        <w:t>50, 203–212.</w:t>
      </w:r>
    </w:p>
    <w:p w:rsidR="00C94252" w:rsidRDefault="00A33443">
      <w:pPr>
        <w:pStyle w:val="Brdtekst"/>
        <w:spacing w:before="161"/>
        <w:ind w:left="399" w:right="713" w:hanging="284"/>
      </w:pPr>
      <w:r>
        <w:t>Poortinga, W., Pidgeon, N.F., 2004. Trust, the asymme</w:t>
      </w:r>
      <w:r>
        <w:t xml:space="preserve">try principle, and the role of prior beliefs. </w:t>
      </w:r>
      <w:r>
        <w:rPr>
          <w:i/>
        </w:rPr>
        <w:t xml:space="preserve">Risk Analysis </w:t>
      </w:r>
      <w:r>
        <w:t>24, 1475–1486.</w:t>
      </w:r>
    </w:p>
    <w:p w:rsidR="00C94252" w:rsidRDefault="00A33443">
      <w:pPr>
        <w:pStyle w:val="Brdtekst"/>
        <w:spacing w:before="159"/>
        <w:ind w:left="399" w:right="714" w:hanging="284"/>
      </w:pPr>
      <w:r>
        <w:t xml:space="preserve">Punda, L., Capuder, T., Pandžić, H., Delimar, M., 2017. Integration of renewable energy sources in southeast Europe: A review of incentive mechanisms and feasibility of investments. </w:t>
      </w:r>
      <w:r>
        <w:rPr>
          <w:i/>
        </w:rPr>
        <w:t xml:space="preserve">Renewable and Sustainable Energy Reviews </w:t>
      </w:r>
      <w:r>
        <w:t>71, 77–88.</w:t>
      </w:r>
    </w:p>
    <w:p w:rsidR="00C94252" w:rsidRDefault="00A33443">
      <w:pPr>
        <w:pStyle w:val="Brdtekst"/>
        <w:spacing w:before="160"/>
        <w:ind w:left="399" w:right="397" w:hanging="284"/>
      </w:pPr>
      <w:r>
        <w:t>Raven, R.P.J.M., Mouri</w:t>
      </w:r>
      <w:r>
        <w:t xml:space="preserve">k, R.M., Feenstra, C.F.J., Heiskanen, E., 2009. Modulating societal acceptance in new energy projects: Towards a toolkit methodology for project managers. </w:t>
      </w:r>
      <w:r>
        <w:rPr>
          <w:i/>
        </w:rPr>
        <w:t xml:space="preserve">Energy </w:t>
      </w:r>
      <w:r>
        <w:t>34, 564–574.</w:t>
      </w:r>
    </w:p>
    <w:p w:rsidR="00C94252" w:rsidRDefault="00A33443">
      <w:pPr>
        <w:pStyle w:val="Brdtekst"/>
        <w:spacing w:before="161"/>
        <w:ind w:left="399" w:right="400" w:hanging="284"/>
      </w:pPr>
      <w:r>
        <w:t>Reimer, M., Blotevogel, H.H., 2012. Comparing spatial planning practice in Europe</w:t>
      </w:r>
      <w:r>
        <w:t xml:space="preserve">: A plea for cultural sensitization. </w:t>
      </w:r>
      <w:r>
        <w:rPr>
          <w:i/>
        </w:rPr>
        <w:t xml:space="preserve">Planning Practice and Research </w:t>
      </w:r>
      <w:r>
        <w:t>27, 7–24.</w:t>
      </w:r>
    </w:p>
    <w:p w:rsidR="00C94252" w:rsidRDefault="00A33443">
      <w:pPr>
        <w:pStyle w:val="Brdtekst"/>
        <w:spacing w:before="159"/>
        <w:ind w:left="399" w:right="196" w:hanging="284"/>
      </w:pPr>
      <w:r>
        <w:t>Renewable Energy Directive, 2009. Directive 2009/28/EC of the European Parliament and of the Council of 23 April 2009 on the promotion of the use of energy from renewable sources</w:t>
      </w:r>
      <w:r>
        <w:t xml:space="preserve"> and amending and subsequently repealing Directives 2001/77/EC and 2003/30/EC. Accessible at: </w:t>
      </w:r>
      <w:hyperlink r:id="rId36">
        <w:r>
          <w:rPr>
            <w:color w:val="0462C1"/>
            <w:u w:val="single" w:color="0462C1"/>
          </w:rPr>
          <w:t>http://eur-lex.europa.eu/legal-</w:t>
        </w:r>
      </w:hyperlink>
      <w:r>
        <w:rPr>
          <w:color w:val="0462C1"/>
        </w:rPr>
        <w:t xml:space="preserve"> </w:t>
      </w:r>
      <w:hyperlink r:id="rId37">
        <w:r>
          <w:rPr>
            <w:color w:val="0462C1"/>
            <w:u w:val="single" w:color="0462C1"/>
          </w:rPr>
          <w:t>content/EN/ALL/?uri=CELEX%3A32009L0028</w:t>
        </w:r>
      </w:hyperlink>
    </w:p>
    <w:p w:rsidR="00C94252" w:rsidRDefault="00A33443">
      <w:pPr>
        <w:pStyle w:val="Brdtekst"/>
        <w:spacing w:before="161"/>
        <w:ind w:left="399" w:right="326" w:hanging="284"/>
      </w:pPr>
      <w:r>
        <w:t xml:space="preserve">Rivolin, U.J., Faludi, A., 2005. The hidden face of European spatial planning: innovations in governance. </w:t>
      </w:r>
      <w:r>
        <w:rPr>
          <w:i/>
        </w:rPr>
        <w:t xml:space="preserve">European Planning Studies </w:t>
      </w:r>
      <w:r>
        <w:t>13, 195–215.</w:t>
      </w:r>
    </w:p>
    <w:p w:rsidR="00C94252" w:rsidRDefault="00A33443">
      <w:pPr>
        <w:pStyle w:val="Brdtekst"/>
        <w:spacing w:before="159"/>
        <w:ind w:left="399" w:right="212" w:hanging="284"/>
      </w:pPr>
      <w:r>
        <w:t xml:space="preserve">Rydin, Y., Lee, M., </w:t>
      </w:r>
      <w:r>
        <w:t xml:space="preserve">Lock, S.J., 2015. Public Engagement in Decision-Making on Major Wind Energy Projects. </w:t>
      </w:r>
      <w:r>
        <w:rPr>
          <w:i/>
        </w:rPr>
        <w:t xml:space="preserve">Journal of Environmental Law </w:t>
      </w:r>
      <w:r>
        <w:t>27, 139–150.</w:t>
      </w:r>
    </w:p>
    <w:p w:rsidR="00C94252" w:rsidRDefault="00A33443">
      <w:pPr>
        <w:pStyle w:val="Brdtekst"/>
        <w:spacing w:before="160"/>
        <w:ind w:left="399" w:right="627" w:hanging="284"/>
      </w:pPr>
      <w:r>
        <w:t>Schenk, A., Hunziker, M., Kienast, F., 2007. Factors influencing the acceptance of nature conservation measures--a qualitative s</w:t>
      </w:r>
      <w:r>
        <w:t xml:space="preserve">tudy in Switzerland. </w:t>
      </w:r>
      <w:r>
        <w:rPr>
          <w:i/>
        </w:rPr>
        <w:t xml:space="preserve">Journal of Environmental Management </w:t>
      </w:r>
      <w:r>
        <w:t>83, 66–79.</w:t>
      </w:r>
    </w:p>
    <w:p w:rsidR="00C94252" w:rsidRDefault="00A33443">
      <w:pPr>
        <w:pStyle w:val="Brdtekst"/>
        <w:spacing w:before="162"/>
        <w:ind w:left="399" w:right="682" w:hanging="284"/>
      </w:pPr>
      <w:r>
        <w:t xml:space="preserve">Silva, L., Delicado, A., 2017. Wind farms and rural tourism: A Portuguese case study of residents’ and visitors’ perceptions and attitudes. </w:t>
      </w:r>
      <w:r>
        <w:rPr>
          <w:i/>
        </w:rPr>
        <w:t xml:space="preserve">Moravian Geographical Reports </w:t>
      </w:r>
      <w:r>
        <w:t>25.</w:t>
      </w:r>
    </w:p>
    <w:p w:rsidR="00C94252" w:rsidRDefault="00A33443">
      <w:pPr>
        <w:pStyle w:val="Brdtekst"/>
        <w:spacing w:before="158"/>
        <w:ind w:left="399" w:right="529" w:hanging="284"/>
      </w:pPr>
      <w:r>
        <w:t>Simão, A., Den</w:t>
      </w:r>
      <w:r>
        <w:t xml:space="preserve">sham, P.J., (Muki) Haklay, M., 2009. Web-based GIS for collaborative planning and public participation: An application to the strategic planning of wind farm sites. </w:t>
      </w:r>
      <w:r>
        <w:rPr>
          <w:i/>
        </w:rPr>
        <w:t xml:space="preserve">Journal of Environmental Management </w:t>
      </w:r>
      <w:r>
        <w:t>90, 2027–2040.</w:t>
      </w:r>
    </w:p>
    <w:p w:rsidR="00C94252" w:rsidRDefault="00A33443">
      <w:pPr>
        <w:pStyle w:val="Brdtekst"/>
        <w:spacing w:before="161"/>
        <w:ind w:left="399" w:right="593" w:hanging="284"/>
      </w:pPr>
      <w:r>
        <w:t>Simcock, N., 2016. Procedural justice an</w:t>
      </w:r>
      <w:r>
        <w:t xml:space="preserve">d the implementation of community wind energy projects: A case study from South Yorkshire, UK. </w:t>
      </w:r>
      <w:r>
        <w:rPr>
          <w:i/>
        </w:rPr>
        <w:t xml:space="preserve">Land Use Policy </w:t>
      </w:r>
      <w:r>
        <w:t>59, 467–477.</w:t>
      </w:r>
    </w:p>
    <w:p w:rsidR="00C94252" w:rsidRDefault="00C94252">
      <w:pPr>
        <w:sectPr w:rsidR="00C94252">
          <w:pgSz w:w="11900" w:h="16850"/>
          <w:pgMar w:top="1340" w:right="1240" w:bottom="940" w:left="1300" w:header="0" w:footer="751" w:gutter="0"/>
          <w:cols w:space="708"/>
        </w:sectPr>
      </w:pPr>
    </w:p>
    <w:p w:rsidR="00C94252" w:rsidRDefault="00A33443">
      <w:pPr>
        <w:pStyle w:val="Brdtekst"/>
        <w:spacing w:before="69"/>
        <w:ind w:left="399" w:right="799" w:hanging="284"/>
      </w:pPr>
      <w:r>
        <w:t xml:space="preserve">Sposato, R.G. and Hampl, N., 2018. Worldviews as predictors of wind and solar energy support in Austria: Bridging social acceptance and risk perception research. </w:t>
      </w:r>
      <w:r>
        <w:rPr>
          <w:i/>
        </w:rPr>
        <w:t xml:space="preserve">Energy Research &amp; Social Science </w:t>
      </w:r>
      <w:r>
        <w:t>42, 237–246.</w:t>
      </w:r>
    </w:p>
    <w:p w:rsidR="00C94252" w:rsidRDefault="00A33443">
      <w:pPr>
        <w:pStyle w:val="Brdtekst"/>
        <w:spacing w:before="162"/>
        <w:ind w:left="399" w:right="560" w:hanging="284"/>
      </w:pPr>
      <w:r>
        <w:t>Stead, D., 2013. Convergence, Divergence, or Con</w:t>
      </w:r>
      <w:r>
        <w:t xml:space="preserve">stancy of Spatial Planning? Connecting Theoretical Concepts with Empirical Evidence from Europe. </w:t>
      </w:r>
      <w:r>
        <w:rPr>
          <w:i/>
        </w:rPr>
        <w:t xml:space="preserve">Journal of Planning Literature </w:t>
      </w:r>
      <w:r>
        <w:t>28, 19–31.</w:t>
      </w:r>
    </w:p>
    <w:p w:rsidR="00C94252" w:rsidRDefault="00A33443">
      <w:pPr>
        <w:pStyle w:val="Brdtekst"/>
        <w:spacing w:before="160"/>
        <w:ind w:left="399" w:right="934" w:hanging="284"/>
      </w:pPr>
      <w:r>
        <w:t>Zoellner, J., Schweizer-Ries, P., Wemheuer, C., 2008. Public acceptance of renewable energies: Results from case stud</w:t>
      </w:r>
      <w:r>
        <w:t xml:space="preserve">ies in Germany. </w:t>
      </w:r>
      <w:r>
        <w:rPr>
          <w:i/>
        </w:rPr>
        <w:t xml:space="preserve">Energy Policy </w:t>
      </w:r>
      <w:r>
        <w:t>36, 4136–4141.</w:t>
      </w:r>
    </w:p>
    <w:p w:rsidR="00C94252" w:rsidRDefault="00A33443">
      <w:pPr>
        <w:pStyle w:val="Brdtekst"/>
        <w:spacing w:before="159"/>
        <w:ind w:left="399" w:right="327" w:hanging="284"/>
      </w:pPr>
      <w:r>
        <w:t xml:space="preserve">Upham, P., Oltra, C., Boso, À., 2015. Towards a cross-paradigmatic framework of the social acceptance of energy systems. </w:t>
      </w:r>
      <w:r>
        <w:rPr>
          <w:i/>
        </w:rPr>
        <w:t xml:space="preserve">Energy Research &amp; Social Science </w:t>
      </w:r>
      <w:r>
        <w:t>8, 100–112.</w:t>
      </w:r>
    </w:p>
    <w:p w:rsidR="00C94252" w:rsidRDefault="00A33443">
      <w:pPr>
        <w:pStyle w:val="Brdtekst"/>
        <w:spacing w:before="161"/>
        <w:ind w:left="399" w:right="190" w:hanging="284"/>
      </w:pPr>
      <w:r>
        <w:t>Walker, B.J.A., Wiersma, B., Bailey, E., 2014</w:t>
      </w:r>
      <w:r>
        <w:t xml:space="preserve">. Community benefits, framing and the social acceptance of offshore wind farms: An experimental study in England. </w:t>
      </w:r>
      <w:r>
        <w:rPr>
          <w:i/>
        </w:rPr>
        <w:t xml:space="preserve">Energy Research &amp; Social Science </w:t>
      </w:r>
      <w:r>
        <w:t>3, 46–54.</w:t>
      </w:r>
    </w:p>
    <w:p w:rsidR="00C94252" w:rsidRDefault="00A33443">
      <w:pPr>
        <w:pStyle w:val="Brdtekst"/>
        <w:spacing w:before="161"/>
        <w:ind w:left="399" w:right="341" w:hanging="284"/>
        <w:jc w:val="both"/>
      </w:pPr>
      <w:r>
        <w:t>Walker, G., Devine-Wright, P., Hunter, S., High, H., Evans, B., 2010. Trust and community: Explorin</w:t>
      </w:r>
      <w:r>
        <w:t xml:space="preserve">g the meanings, contexts and dynamics of community renewable energy. </w:t>
      </w:r>
      <w:r>
        <w:rPr>
          <w:i/>
        </w:rPr>
        <w:t xml:space="preserve">Energy Policy </w:t>
      </w:r>
      <w:r>
        <w:t>38, 2655–2663.</w:t>
      </w:r>
    </w:p>
    <w:p w:rsidR="00C94252" w:rsidRDefault="00A33443">
      <w:pPr>
        <w:pStyle w:val="Brdtekst"/>
        <w:spacing w:before="159"/>
        <w:ind w:left="399" w:right="291" w:hanging="284"/>
      </w:pPr>
      <w:r>
        <w:t xml:space="preserve">Walter, G., 2014. Determining the local acceptance of wind energy projects in Switzerland: The importance of general attitudes and project characteristics. </w:t>
      </w:r>
      <w:r>
        <w:rPr>
          <w:i/>
        </w:rPr>
        <w:t xml:space="preserve">Energy Research &amp; Social Science </w:t>
      </w:r>
      <w:r>
        <w:t>4, 78–88.</w:t>
      </w:r>
    </w:p>
    <w:p w:rsidR="00C94252" w:rsidRDefault="00A33443">
      <w:pPr>
        <w:spacing w:before="160"/>
        <w:ind w:left="399" w:right="206" w:hanging="284"/>
        <w:jc w:val="both"/>
        <w:rPr>
          <w:sz w:val="24"/>
        </w:rPr>
      </w:pPr>
      <w:r>
        <w:rPr>
          <w:sz w:val="24"/>
        </w:rPr>
        <w:t xml:space="preserve">Wolsink, M., 2010. Contested environmental policy infrastructure: Socio-political acceptance of renewable energy, water, and waste facilities. </w:t>
      </w:r>
      <w:r>
        <w:rPr>
          <w:i/>
          <w:sz w:val="24"/>
        </w:rPr>
        <w:t xml:space="preserve">Environmental Impact Assessment Review </w:t>
      </w:r>
      <w:r>
        <w:rPr>
          <w:sz w:val="24"/>
        </w:rPr>
        <w:t>30, 302–311.</w:t>
      </w:r>
    </w:p>
    <w:p w:rsidR="00C94252" w:rsidRDefault="00A33443">
      <w:pPr>
        <w:pStyle w:val="Brdtekst"/>
        <w:spacing w:before="161"/>
        <w:ind w:left="399" w:right="587" w:hanging="284"/>
      </w:pPr>
      <w:r>
        <w:t>Wüstenhagen, R., W</w:t>
      </w:r>
      <w:r>
        <w:t xml:space="preserve">olsink, M., Bürer, M.J., 2007. Social acceptance of renewable energy innovation: An introduction to the concept. </w:t>
      </w:r>
      <w:r>
        <w:rPr>
          <w:i/>
        </w:rPr>
        <w:t xml:space="preserve">Energy Policy </w:t>
      </w:r>
      <w:r>
        <w:t>35, 2683–2691.</w:t>
      </w:r>
    </w:p>
    <w:sectPr w:rsidR="00C94252">
      <w:pgSz w:w="11900" w:h="16850"/>
      <w:pgMar w:top="1340" w:right="1240" w:bottom="940" w:left="1300" w:header="0" w:footer="7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33443">
      <w:r>
        <w:separator/>
      </w:r>
    </w:p>
  </w:endnote>
  <w:endnote w:type="continuationSeparator" w:id="0">
    <w:p w:rsidR="00000000" w:rsidRDefault="00A3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Semilight">
    <w:altName w:val="Malgun Gothic Semilight"/>
    <w:panose1 w:val="020B0502040204020203"/>
    <w:charset w:val="81"/>
    <w:family w:val="swiss"/>
    <w:pitch w:val="variable"/>
    <w:sig w:usb0="B0000AAF" w:usb1="09DF7CFB" w:usb2="00000012" w:usb3="00000000" w:csb0="003E01BD"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088" behindDoc="1" locked="0" layoutInCell="1" allowOverlap="1">
              <wp:simplePos x="0" y="0"/>
              <wp:positionH relativeFrom="page">
                <wp:posOffset>3675380</wp:posOffset>
              </wp:positionH>
              <wp:positionV relativeFrom="page">
                <wp:posOffset>10077450</wp:posOffset>
              </wp:positionV>
              <wp:extent cx="206375" cy="177800"/>
              <wp:effectExtent l="0" t="0" r="4445" b="317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9.4pt;margin-top:793.5pt;width:16.25pt;height:14pt;z-index:-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FsAIAAKk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112" behindDoc="1" locked="0" layoutInCell="1" allowOverlap="1">
              <wp:simplePos x="0" y="0"/>
              <wp:positionH relativeFrom="page">
                <wp:posOffset>5243830</wp:posOffset>
              </wp:positionH>
              <wp:positionV relativeFrom="page">
                <wp:posOffset>6939280</wp:posOffset>
              </wp:positionV>
              <wp:extent cx="206375" cy="1778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2.9pt;margin-top:546.4pt;width:16.25pt;height:14pt;z-index:-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Po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136" behindDoc="1" locked="0" layoutInCell="1" allowOverlap="1">
              <wp:simplePos x="0" y="0"/>
              <wp:positionH relativeFrom="page">
                <wp:posOffset>3675380</wp:posOffset>
              </wp:positionH>
              <wp:positionV relativeFrom="page">
                <wp:posOffset>10077450</wp:posOffset>
              </wp:positionV>
              <wp:extent cx="206375" cy="177800"/>
              <wp:effectExtent l="0" t="0" r="444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89.4pt;margin-top:793.5pt;width:16.25pt;height:14pt;z-index:-9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vksw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160" behindDoc="1" locked="0" layoutInCell="1" allowOverlap="1">
              <wp:simplePos x="0" y="0"/>
              <wp:positionH relativeFrom="page">
                <wp:posOffset>5256530</wp:posOffset>
              </wp:positionH>
              <wp:positionV relativeFrom="page">
                <wp:posOffset>6939280</wp:posOffset>
              </wp:positionV>
              <wp:extent cx="180975" cy="177800"/>
              <wp:effectExtent l="0"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20"/>
                            <w:rPr>
                              <w:rFonts w:ascii="Calibri"/>
                            </w:rPr>
                          </w:pPr>
                          <w:r>
                            <w:rPr>
                              <w:rFonts w:ascii="Calibri"/>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13.9pt;margin-top:546.4pt;width:14.25pt;height:14pt;z-index:-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" filled="f" stroked="f">
              <v:textbox inset="0,0,0,0">
                <w:txbxContent>
                  <w:p w:rsidR="00C94252" w:rsidRDefault="00A33443">
                    <w:pPr>
                      <w:pStyle w:val="Brdtekst"/>
                      <w:spacing w:line="264" w:lineRule="exact"/>
                      <w:ind w:left="20"/>
                      <w:rPr>
                        <w:rFonts w:ascii="Calibri"/>
                      </w:rPr>
                    </w:pPr>
                    <w:r>
                      <w:rPr>
                        <w:rFonts w:ascii="Calibri"/>
                      </w:rPr>
                      <w:t>16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184" behindDoc="1" locked="0" layoutInCell="1" allowOverlap="1">
              <wp:simplePos x="0" y="0"/>
              <wp:positionH relativeFrom="page">
                <wp:posOffset>3675380</wp:posOffset>
              </wp:positionH>
              <wp:positionV relativeFrom="page">
                <wp:posOffset>10077450</wp:posOffset>
              </wp:positionV>
              <wp:extent cx="206375" cy="177800"/>
              <wp:effectExtent l="0" t="0" r="444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89.4pt;margin-top:793.5pt;width:16.25pt;height:14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GdtAIAAK8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208" behindDoc="1" locked="0" layoutInCell="1" allowOverlap="1">
              <wp:simplePos x="0" y="0"/>
              <wp:positionH relativeFrom="page">
                <wp:posOffset>5243830</wp:posOffset>
              </wp:positionH>
              <wp:positionV relativeFrom="page">
                <wp:posOffset>6939280</wp:posOffset>
              </wp:positionV>
              <wp:extent cx="20637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412.9pt;margin-top:546.4pt;width:16.25pt;height:14pt;z-index:-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DHs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52" w:rsidRDefault="00A33443">
    <w:pPr>
      <w:pStyle w:val="Brdtekst"/>
      <w:spacing w:line="14" w:lineRule="auto"/>
      <w:rPr>
        <w:sz w:val="20"/>
      </w:rPr>
    </w:pPr>
    <w:r>
      <w:rPr>
        <w:noProof/>
        <w:lang w:val="nb-NO" w:eastAsia="nb-NO"/>
      </w:rPr>
      <mc:AlternateContent>
        <mc:Choice Requires="wps">
          <w:drawing>
            <wp:anchor distT="0" distB="0" distL="114300" distR="114300" simplePos="0" relativeHeight="503218232" behindDoc="1" locked="0" layoutInCell="1" allowOverlap="1">
              <wp:simplePos x="0" y="0"/>
              <wp:positionH relativeFrom="page">
                <wp:posOffset>3675380</wp:posOffset>
              </wp:positionH>
              <wp:positionV relativeFrom="page">
                <wp:posOffset>10077450</wp:posOffset>
              </wp:positionV>
              <wp:extent cx="206375" cy="177800"/>
              <wp:effectExtent l="0" t="0" r="444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9.4pt;margin-top:793.5pt;width:16.25pt;height:14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IpswIAAK8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" filled="f" stroked="f">
              <v:textbox inset="0,0,0,0">
                <w:txbxContent>
                  <w:p w:rsidR="00C94252" w:rsidRDefault="00A33443">
                    <w:pPr>
                      <w:pStyle w:val="Brdtekst"/>
                      <w:spacing w:line="264" w:lineRule="exact"/>
                      <w:ind w:left="40"/>
                      <w:rPr>
                        <w:rFonts w:ascii="Calibri"/>
                      </w:rPr>
                    </w:pPr>
                    <w:r>
                      <w:fldChar w:fldCharType="begin"/>
                    </w:r>
                    <w:r>
                      <w:rPr>
                        <w:rFonts w:ascii="Calibri"/>
                      </w:rPr>
                      <w:instrText xml:space="preserve"> PAGE </w:instrText>
                    </w:r>
                    <w:r>
                      <w:fldChar w:fldCharType="separate"/>
                    </w:r>
                    <w:r>
                      <w:rPr>
                        <w:rFonts w:ascii="Calibri"/>
                        <w:noProof/>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33443">
      <w:r>
        <w:separator/>
      </w:r>
    </w:p>
  </w:footnote>
  <w:footnote w:type="continuationSeparator" w:id="0">
    <w:p w:rsidR="00000000" w:rsidRDefault="00A33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D5984"/>
    <w:multiLevelType w:val="multilevel"/>
    <w:tmpl w:val="7A2432E8"/>
    <w:lvl w:ilvl="0">
      <w:start w:val="1"/>
      <w:numFmt w:val="lowerRoman"/>
      <w:lvlText w:val="%1"/>
      <w:lvlJc w:val="left"/>
      <w:pPr>
        <w:ind w:left="116" w:hanging="363"/>
        <w:jc w:val="left"/>
      </w:pPr>
      <w:rPr>
        <w:rFonts w:hint="default"/>
        <w:lang w:val="et" w:eastAsia="et" w:bidi="et"/>
      </w:rPr>
    </w:lvl>
    <w:lvl w:ilvl="1">
      <w:start w:val="5"/>
      <w:numFmt w:val="lowerLetter"/>
      <w:lvlText w:val="%1.%2."/>
      <w:lvlJc w:val="left"/>
      <w:pPr>
        <w:ind w:left="116" w:hanging="363"/>
        <w:jc w:val="left"/>
      </w:pPr>
      <w:rPr>
        <w:rFonts w:ascii="Times New Roman" w:eastAsia="Times New Roman" w:hAnsi="Times New Roman" w:cs="Times New Roman" w:hint="default"/>
        <w:w w:val="100"/>
        <w:sz w:val="24"/>
        <w:szCs w:val="24"/>
        <w:lang w:val="et" w:eastAsia="et" w:bidi="et"/>
      </w:rPr>
    </w:lvl>
    <w:lvl w:ilvl="2">
      <w:start w:val="1"/>
      <w:numFmt w:val="decimal"/>
      <w:lvlText w:val="%3."/>
      <w:lvlJc w:val="left"/>
      <w:pPr>
        <w:ind w:left="836" w:hanging="360"/>
        <w:jc w:val="left"/>
      </w:pPr>
      <w:rPr>
        <w:rFonts w:ascii="Times New Roman" w:eastAsia="Times New Roman" w:hAnsi="Times New Roman" w:cs="Times New Roman" w:hint="default"/>
        <w:spacing w:val="-3"/>
        <w:w w:val="99"/>
        <w:sz w:val="24"/>
        <w:szCs w:val="24"/>
        <w:lang w:val="et" w:eastAsia="et" w:bidi="et"/>
      </w:rPr>
    </w:lvl>
    <w:lvl w:ilvl="3">
      <w:numFmt w:val="bullet"/>
      <w:lvlText w:val="•"/>
      <w:lvlJc w:val="left"/>
      <w:pPr>
        <w:ind w:left="2737" w:hanging="360"/>
      </w:pPr>
      <w:rPr>
        <w:rFonts w:hint="default"/>
        <w:lang w:val="et" w:eastAsia="et" w:bidi="et"/>
      </w:rPr>
    </w:lvl>
    <w:lvl w:ilvl="4">
      <w:numFmt w:val="bullet"/>
      <w:lvlText w:val="•"/>
      <w:lvlJc w:val="left"/>
      <w:pPr>
        <w:ind w:left="3686" w:hanging="360"/>
      </w:pPr>
      <w:rPr>
        <w:rFonts w:hint="default"/>
        <w:lang w:val="et" w:eastAsia="et" w:bidi="et"/>
      </w:rPr>
    </w:lvl>
    <w:lvl w:ilvl="5">
      <w:numFmt w:val="bullet"/>
      <w:lvlText w:val="•"/>
      <w:lvlJc w:val="left"/>
      <w:pPr>
        <w:ind w:left="4635" w:hanging="360"/>
      </w:pPr>
      <w:rPr>
        <w:rFonts w:hint="default"/>
        <w:lang w:val="et" w:eastAsia="et" w:bidi="et"/>
      </w:rPr>
    </w:lvl>
    <w:lvl w:ilvl="6">
      <w:numFmt w:val="bullet"/>
      <w:lvlText w:val="•"/>
      <w:lvlJc w:val="left"/>
      <w:pPr>
        <w:ind w:left="5584" w:hanging="360"/>
      </w:pPr>
      <w:rPr>
        <w:rFonts w:hint="default"/>
        <w:lang w:val="et" w:eastAsia="et" w:bidi="et"/>
      </w:rPr>
    </w:lvl>
    <w:lvl w:ilvl="7">
      <w:numFmt w:val="bullet"/>
      <w:lvlText w:val="•"/>
      <w:lvlJc w:val="left"/>
      <w:pPr>
        <w:ind w:left="6532" w:hanging="360"/>
      </w:pPr>
      <w:rPr>
        <w:rFonts w:hint="default"/>
        <w:lang w:val="et" w:eastAsia="et" w:bidi="et"/>
      </w:rPr>
    </w:lvl>
    <w:lvl w:ilvl="8">
      <w:numFmt w:val="bullet"/>
      <w:lvlText w:val="•"/>
      <w:lvlJc w:val="left"/>
      <w:pPr>
        <w:ind w:left="7481" w:hanging="360"/>
      </w:pPr>
      <w:rPr>
        <w:rFonts w:hint="default"/>
        <w:lang w:val="et" w:eastAsia="et" w:bidi="et"/>
      </w:rPr>
    </w:lvl>
  </w:abstractNum>
  <w:abstractNum w:abstractNumId="1" w15:restartNumberingAfterBreak="0">
    <w:nsid w:val="30B24716"/>
    <w:multiLevelType w:val="multilevel"/>
    <w:tmpl w:val="47FCF8B6"/>
    <w:lvl w:ilvl="0">
      <w:start w:val="4"/>
      <w:numFmt w:val="decimal"/>
      <w:lvlText w:val="%1"/>
      <w:lvlJc w:val="left"/>
      <w:pPr>
        <w:ind w:left="536" w:hanging="420"/>
        <w:jc w:val="left"/>
      </w:pPr>
      <w:rPr>
        <w:rFonts w:hint="default"/>
        <w:lang w:val="et" w:eastAsia="et" w:bidi="et"/>
      </w:rPr>
    </w:lvl>
    <w:lvl w:ilvl="1">
      <w:start w:val="2"/>
      <w:numFmt w:val="decimal"/>
      <w:lvlText w:val="%1.%2."/>
      <w:lvlJc w:val="left"/>
      <w:pPr>
        <w:ind w:left="536" w:hanging="420"/>
        <w:jc w:val="left"/>
      </w:pPr>
      <w:rPr>
        <w:rFonts w:ascii="Times New Roman" w:eastAsia="Times New Roman" w:hAnsi="Times New Roman" w:cs="Times New Roman" w:hint="default"/>
        <w:b/>
        <w:bCs/>
        <w:spacing w:val="-2"/>
        <w:w w:val="99"/>
        <w:sz w:val="24"/>
        <w:szCs w:val="24"/>
        <w:lang w:val="et" w:eastAsia="et" w:bidi="et"/>
      </w:rPr>
    </w:lvl>
    <w:lvl w:ilvl="2">
      <w:start w:val="1"/>
      <w:numFmt w:val="decimal"/>
      <w:lvlText w:val="%1.%2.%3."/>
      <w:lvlJc w:val="left"/>
      <w:pPr>
        <w:ind w:left="836" w:hanging="720"/>
        <w:jc w:val="left"/>
      </w:pPr>
      <w:rPr>
        <w:rFonts w:ascii="Times New Roman" w:eastAsia="Times New Roman" w:hAnsi="Times New Roman" w:cs="Times New Roman" w:hint="default"/>
        <w:b/>
        <w:bCs/>
        <w:i/>
        <w:spacing w:val="-2"/>
        <w:w w:val="99"/>
        <w:sz w:val="24"/>
        <w:szCs w:val="24"/>
        <w:lang w:val="et" w:eastAsia="et" w:bidi="et"/>
      </w:rPr>
    </w:lvl>
    <w:lvl w:ilvl="3">
      <w:start w:val="1"/>
      <w:numFmt w:val="decimal"/>
      <w:lvlText w:val="%1.%2.%3.%4."/>
      <w:lvlJc w:val="left"/>
      <w:pPr>
        <w:ind w:left="837" w:hanging="721"/>
        <w:jc w:val="left"/>
      </w:pPr>
      <w:rPr>
        <w:rFonts w:ascii="Times New Roman" w:eastAsia="Times New Roman" w:hAnsi="Times New Roman" w:cs="Times New Roman" w:hint="default"/>
        <w:b/>
        <w:bCs/>
        <w:i/>
        <w:spacing w:val="-1"/>
        <w:w w:val="100"/>
        <w:sz w:val="22"/>
        <w:szCs w:val="22"/>
        <w:lang w:val="et" w:eastAsia="et" w:bidi="et"/>
      </w:rPr>
    </w:lvl>
    <w:lvl w:ilvl="4">
      <w:numFmt w:val="bullet"/>
      <w:lvlText w:val="•"/>
      <w:lvlJc w:val="left"/>
      <w:pPr>
        <w:ind w:left="3659" w:hanging="721"/>
      </w:pPr>
      <w:rPr>
        <w:rFonts w:hint="default"/>
        <w:lang w:val="et" w:eastAsia="et" w:bidi="et"/>
      </w:rPr>
    </w:lvl>
    <w:lvl w:ilvl="5">
      <w:numFmt w:val="bullet"/>
      <w:lvlText w:val="•"/>
      <w:lvlJc w:val="left"/>
      <w:pPr>
        <w:ind w:left="4599" w:hanging="721"/>
      </w:pPr>
      <w:rPr>
        <w:rFonts w:hint="default"/>
        <w:lang w:val="et" w:eastAsia="et" w:bidi="et"/>
      </w:rPr>
    </w:lvl>
    <w:lvl w:ilvl="6">
      <w:numFmt w:val="bullet"/>
      <w:lvlText w:val="•"/>
      <w:lvlJc w:val="left"/>
      <w:pPr>
        <w:ind w:left="5539" w:hanging="721"/>
      </w:pPr>
      <w:rPr>
        <w:rFonts w:hint="default"/>
        <w:lang w:val="et" w:eastAsia="et" w:bidi="et"/>
      </w:rPr>
    </w:lvl>
    <w:lvl w:ilvl="7">
      <w:numFmt w:val="bullet"/>
      <w:lvlText w:val="•"/>
      <w:lvlJc w:val="left"/>
      <w:pPr>
        <w:ind w:left="6479" w:hanging="721"/>
      </w:pPr>
      <w:rPr>
        <w:rFonts w:hint="default"/>
        <w:lang w:val="et" w:eastAsia="et" w:bidi="et"/>
      </w:rPr>
    </w:lvl>
    <w:lvl w:ilvl="8">
      <w:numFmt w:val="bullet"/>
      <w:lvlText w:val="•"/>
      <w:lvlJc w:val="left"/>
      <w:pPr>
        <w:ind w:left="7419" w:hanging="721"/>
      </w:pPr>
      <w:rPr>
        <w:rFonts w:hint="default"/>
        <w:lang w:val="et" w:eastAsia="et" w:bidi="et"/>
      </w:rPr>
    </w:lvl>
  </w:abstractNum>
  <w:abstractNum w:abstractNumId="2" w15:restartNumberingAfterBreak="0">
    <w:nsid w:val="364241A8"/>
    <w:multiLevelType w:val="multilevel"/>
    <w:tmpl w:val="0D806888"/>
    <w:lvl w:ilvl="0">
      <w:start w:val="3"/>
      <w:numFmt w:val="decimal"/>
      <w:lvlText w:val="%1"/>
      <w:lvlJc w:val="left"/>
      <w:pPr>
        <w:ind w:left="477" w:hanging="361"/>
        <w:jc w:val="left"/>
      </w:pPr>
      <w:rPr>
        <w:rFonts w:hint="default"/>
        <w:lang w:val="et" w:eastAsia="et" w:bidi="et"/>
      </w:rPr>
    </w:lvl>
    <w:lvl w:ilvl="1">
      <w:start w:val="1"/>
      <w:numFmt w:val="decimal"/>
      <w:lvlText w:val="%1.%2."/>
      <w:lvlJc w:val="left"/>
      <w:pPr>
        <w:ind w:left="477" w:hanging="361"/>
        <w:jc w:val="left"/>
      </w:pPr>
      <w:rPr>
        <w:rFonts w:ascii="Times New Roman" w:eastAsia="Times New Roman" w:hAnsi="Times New Roman" w:cs="Times New Roman" w:hint="default"/>
        <w:b/>
        <w:bCs/>
        <w:w w:val="100"/>
        <w:sz w:val="22"/>
        <w:szCs w:val="22"/>
        <w:lang w:val="et" w:eastAsia="et" w:bidi="et"/>
      </w:rPr>
    </w:lvl>
    <w:lvl w:ilvl="2">
      <w:start w:val="1"/>
      <w:numFmt w:val="decimal"/>
      <w:lvlText w:val="%3)"/>
      <w:lvlJc w:val="left"/>
      <w:pPr>
        <w:ind w:left="836" w:hanging="360"/>
        <w:jc w:val="left"/>
      </w:pPr>
      <w:rPr>
        <w:rFonts w:ascii="Times New Roman" w:eastAsia="Times New Roman" w:hAnsi="Times New Roman" w:cs="Times New Roman" w:hint="default"/>
        <w:spacing w:val="-20"/>
        <w:w w:val="99"/>
        <w:sz w:val="24"/>
        <w:szCs w:val="24"/>
        <w:lang w:val="et" w:eastAsia="et" w:bidi="et"/>
      </w:rPr>
    </w:lvl>
    <w:lvl w:ilvl="3">
      <w:numFmt w:val="bullet"/>
      <w:lvlText w:val=""/>
      <w:lvlJc w:val="left"/>
      <w:pPr>
        <w:ind w:left="1196" w:hanging="360"/>
      </w:pPr>
      <w:rPr>
        <w:rFonts w:ascii="Symbol" w:eastAsia="Symbol" w:hAnsi="Symbol" w:cs="Symbol" w:hint="default"/>
        <w:w w:val="100"/>
        <w:sz w:val="24"/>
        <w:szCs w:val="24"/>
        <w:lang w:val="et" w:eastAsia="et" w:bidi="et"/>
      </w:rPr>
    </w:lvl>
    <w:lvl w:ilvl="4">
      <w:numFmt w:val="bullet"/>
      <w:lvlText w:val="•"/>
      <w:lvlJc w:val="left"/>
      <w:pPr>
        <w:ind w:left="3244" w:hanging="360"/>
      </w:pPr>
      <w:rPr>
        <w:rFonts w:hint="default"/>
        <w:lang w:val="et" w:eastAsia="et" w:bidi="et"/>
      </w:rPr>
    </w:lvl>
    <w:lvl w:ilvl="5">
      <w:numFmt w:val="bullet"/>
      <w:lvlText w:val="•"/>
      <w:lvlJc w:val="left"/>
      <w:pPr>
        <w:ind w:left="4267" w:hanging="360"/>
      </w:pPr>
      <w:rPr>
        <w:rFonts w:hint="default"/>
        <w:lang w:val="et" w:eastAsia="et" w:bidi="et"/>
      </w:rPr>
    </w:lvl>
    <w:lvl w:ilvl="6">
      <w:numFmt w:val="bullet"/>
      <w:lvlText w:val="•"/>
      <w:lvlJc w:val="left"/>
      <w:pPr>
        <w:ind w:left="5289" w:hanging="360"/>
      </w:pPr>
      <w:rPr>
        <w:rFonts w:hint="default"/>
        <w:lang w:val="et" w:eastAsia="et" w:bidi="et"/>
      </w:rPr>
    </w:lvl>
    <w:lvl w:ilvl="7">
      <w:numFmt w:val="bullet"/>
      <w:lvlText w:val="•"/>
      <w:lvlJc w:val="left"/>
      <w:pPr>
        <w:ind w:left="6312" w:hanging="360"/>
      </w:pPr>
      <w:rPr>
        <w:rFonts w:hint="default"/>
        <w:lang w:val="et" w:eastAsia="et" w:bidi="et"/>
      </w:rPr>
    </w:lvl>
    <w:lvl w:ilvl="8">
      <w:numFmt w:val="bullet"/>
      <w:lvlText w:val="•"/>
      <w:lvlJc w:val="left"/>
      <w:pPr>
        <w:ind w:left="7334" w:hanging="360"/>
      </w:pPr>
      <w:rPr>
        <w:rFonts w:hint="default"/>
        <w:lang w:val="et" w:eastAsia="et" w:bidi="et"/>
      </w:rPr>
    </w:lvl>
  </w:abstractNum>
  <w:abstractNum w:abstractNumId="3" w15:restartNumberingAfterBreak="0">
    <w:nsid w:val="3B492507"/>
    <w:multiLevelType w:val="hybridMultilevel"/>
    <w:tmpl w:val="7ABC1D22"/>
    <w:lvl w:ilvl="0" w:tplc="0664A2B0">
      <w:numFmt w:val="bullet"/>
      <w:lvlText w:val=""/>
      <w:lvlJc w:val="left"/>
      <w:pPr>
        <w:ind w:left="836" w:hanging="360"/>
      </w:pPr>
      <w:rPr>
        <w:rFonts w:ascii="Symbol" w:eastAsia="Symbol" w:hAnsi="Symbol" w:cs="Symbol" w:hint="default"/>
        <w:w w:val="100"/>
        <w:sz w:val="24"/>
        <w:szCs w:val="24"/>
        <w:lang w:val="et" w:eastAsia="et" w:bidi="et"/>
      </w:rPr>
    </w:lvl>
    <w:lvl w:ilvl="1" w:tplc="BA40D480">
      <w:numFmt w:val="bullet"/>
      <w:lvlText w:val="•"/>
      <w:lvlJc w:val="left"/>
      <w:pPr>
        <w:ind w:left="1693" w:hanging="360"/>
      </w:pPr>
      <w:rPr>
        <w:rFonts w:hint="default"/>
        <w:lang w:val="et" w:eastAsia="et" w:bidi="et"/>
      </w:rPr>
    </w:lvl>
    <w:lvl w:ilvl="2" w:tplc="C5A4C1DC">
      <w:numFmt w:val="bullet"/>
      <w:lvlText w:val="•"/>
      <w:lvlJc w:val="left"/>
      <w:pPr>
        <w:ind w:left="2547" w:hanging="360"/>
      </w:pPr>
      <w:rPr>
        <w:rFonts w:hint="default"/>
        <w:lang w:val="et" w:eastAsia="et" w:bidi="et"/>
      </w:rPr>
    </w:lvl>
    <w:lvl w:ilvl="3" w:tplc="CAA24A20">
      <w:numFmt w:val="bullet"/>
      <w:lvlText w:val="•"/>
      <w:lvlJc w:val="left"/>
      <w:pPr>
        <w:ind w:left="3401" w:hanging="360"/>
      </w:pPr>
      <w:rPr>
        <w:rFonts w:hint="default"/>
        <w:lang w:val="et" w:eastAsia="et" w:bidi="et"/>
      </w:rPr>
    </w:lvl>
    <w:lvl w:ilvl="4" w:tplc="20ACCF72">
      <w:numFmt w:val="bullet"/>
      <w:lvlText w:val="•"/>
      <w:lvlJc w:val="left"/>
      <w:pPr>
        <w:ind w:left="4255" w:hanging="360"/>
      </w:pPr>
      <w:rPr>
        <w:rFonts w:hint="default"/>
        <w:lang w:val="et" w:eastAsia="et" w:bidi="et"/>
      </w:rPr>
    </w:lvl>
    <w:lvl w:ilvl="5" w:tplc="032C207A">
      <w:numFmt w:val="bullet"/>
      <w:lvlText w:val="•"/>
      <w:lvlJc w:val="left"/>
      <w:pPr>
        <w:ind w:left="5109" w:hanging="360"/>
      </w:pPr>
      <w:rPr>
        <w:rFonts w:hint="default"/>
        <w:lang w:val="et" w:eastAsia="et" w:bidi="et"/>
      </w:rPr>
    </w:lvl>
    <w:lvl w:ilvl="6" w:tplc="3B4A0E3A">
      <w:numFmt w:val="bullet"/>
      <w:lvlText w:val="•"/>
      <w:lvlJc w:val="left"/>
      <w:pPr>
        <w:ind w:left="5963" w:hanging="360"/>
      </w:pPr>
      <w:rPr>
        <w:rFonts w:hint="default"/>
        <w:lang w:val="et" w:eastAsia="et" w:bidi="et"/>
      </w:rPr>
    </w:lvl>
    <w:lvl w:ilvl="7" w:tplc="23EA1AF6">
      <w:numFmt w:val="bullet"/>
      <w:lvlText w:val="•"/>
      <w:lvlJc w:val="left"/>
      <w:pPr>
        <w:ind w:left="6817" w:hanging="360"/>
      </w:pPr>
      <w:rPr>
        <w:rFonts w:hint="default"/>
        <w:lang w:val="et" w:eastAsia="et" w:bidi="et"/>
      </w:rPr>
    </w:lvl>
    <w:lvl w:ilvl="8" w:tplc="C406C69A">
      <w:numFmt w:val="bullet"/>
      <w:lvlText w:val="•"/>
      <w:lvlJc w:val="left"/>
      <w:pPr>
        <w:ind w:left="7671" w:hanging="360"/>
      </w:pPr>
      <w:rPr>
        <w:rFonts w:hint="default"/>
        <w:lang w:val="et" w:eastAsia="et" w:bidi="et"/>
      </w:rPr>
    </w:lvl>
  </w:abstractNum>
  <w:abstractNum w:abstractNumId="4" w15:restartNumberingAfterBreak="0">
    <w:nsid w:val="4E792AB6"/>
    <w:multiLevelType w:val="multilevel"/>
    <w:tmpl w:val="9EE40D32"/>
    <w:lvl w:ilvl="0">
      <w:start w:val="5"/>
      <w:numFmt w:val="decimal"/>
      <w:lvlText w:val="%1"/>
      <w:lvlJc w:val="left"/>
      <w:pPr>
        <w:ind w:left="627" w:hanging="512"/>
        <w:jc w:val="left"/>
      </w:pPr>
      <w:rPr>
        <w:rFonts w:hint="default"/>
        <w:lang w:val="et" w:eastAsia="et" w:bidi="et"/>
      </w:rPr>
    </w:lvl>
    <w:lvl w:ilvl="1">
      <w:start w:val="1"/>
      <w:numFmt w:val="decimal"/>
      <w:lvlText w:val="%1.%2."/>
      <w:lvlJc w:val="left"/>
      <w:pPr>
        <w:ind w:left="627" w:hanging="512"/>
        <w:jc w:val="left"/>
      </w:pPr>
      <w:rPr>
        <w:rFonts w:ascii="Times New Roman" w:eastAsia="Times New Roman" w:hAnsi="Times New Roman" w:cs="Times New Roman" w:hint="default"/>
        <w:b/>
        <w:bCs/>
        <w:spacing w:val="-29"/>
        <w:w w:val="99"/>
        <w:sz w:val="24"/>
        <w:szCs w:val="24"/>
        <w:lang w:val="et" w:eastAsia="et" w:bidi="et"/>
      </w:rPr>
    </w:lvl>
    <w:lvl w:ilvl="2">
      <w:start w:val="1"/>
      <w:numFmt w:val="decimal"/>
      <w:lvlText w:val="%1.%2.%3."/>
      <w:lvlJc w:val="left"/>
      <w:pPr>
        <w:ind w:left="836" w:hanging="720"/>
        <w:jc w:val="left"/>
      </w:pPr>
      <w:rPr>
        <w:rFonts w:ascii="Times New Roman" w:eastAsia="Times New Roman" w:hAnsi="Times New Roman" w:cs="Times New Roman" w:hint="default"/>
        <w:b/>
        <w:bCs/>
        <w:i/>
        <w:spacing w:val="-1"/>
        <w:w w:val="99"/>
        <w:sz w:val="24"/>
        <w:szCs w:val="24"/>
        <w:lang w:val="et" w:eastAsia="et" w:bidi="et"/>
      </w:rPr>
    </w:lvl>
    <w:lvl w:ilvl="3">
      <w:numFmt w:val="bullet"/>
      <w:lvlText w:val="•"/>
      <w:lvlJc w:val="left"/>
      <w:pPr>
        <w:ind w:left="2733" w:hanging="720"/>
      </w:pPr>
      <w:rPr>
        <w:rFonts w:hint="default"/>
        <w:lang w:val="et" w:eastAsia="et" w:bidi="et"/>
      </w:rPr>
    </w:lvl>
    <w:lvl w:ilvl="4">
      <w:numFmt w:val="bullet"/>
      <w:lvlText w:val="•"/>
      <w:lvlJc w:val="left"/>
      <w:pPr>
        <w:ind w:left="3679" w:hanging="720"/>
      </w:pPr>
      <w:rPr>
        <w:rFonts w:hint="default"/>
        <w:lang w:val="et" w:eastAsia="et" w:bidi="et"/>
      </w:rPr>
    </w:lvl>
    <w:lvl w:ilvl="5">
      <w:numFmt w:val="bullet"/>
      <w:lvlText w:val="•"/>
      <w:lvlJc w:val="left"/>
      <w:pPr>
        <w:ind w:left="4626" w:hanging="720"/>
      </w:pPr>
      <w:rPr>
        <w:rFonts w:hint="default"/>
        <w:lang w:val="et" w:eastAsia="et" w:bidi="et"/>
      </w:rPr>
    </w:lvl>
    <w:lvl w:ilvl="6">
      <w:numFmt w:val="bullet"/>
      <w:lvlText w:val="•"/>
      <w:lvlJc w:val="left"/>
      <w:pPr>
        <w:ind w:left="5572" w:hanging="720"/>
      </w:pPr>
      <w:rPr>
        <w:rFonts w:hint="default"/>
        <w:lang w:val="et" w:eastAsia="et" w:bidi="et"/>
      </w:rPr>
    </w:lvl>
    <w:lvl w:ilvl="7">
      <w:numFmt w:val="bullet"/>
      <w:lvlText w:val="•"/>
      <w:lvlJc w:val="left"/>
      <w:pPr>
        <w:ind w:left="6519" w:hanging="720"/>
      </w:pPr>
      <w:rPr>
        <w:rFonts w:hint="default"/>
        <w:lang w:val="et" w:eastAsia="et" w:bidi="et"/>
      </w:rPr>
    </w:lvl>
    <w:lvl w:ilvl="8">
      <w:numFmt w:val="bullet"/>
      <w:lvlText w:val="•"/>
      <w:lvlJc w:val="left"/>
      <w:pPr>
        <w:ind w:left="7466" w:hanging="720"/>
      </w:pPr>
      <w:rPr>
        <w:rFonts w:hint="default"/>
        <w:lang w:val="et" w:eastAsia="et" w:bidi="et"/>
      </w:rPr>
    </w:lvl>
  </w:abstractNum>
  <w:abstractNum w:abstractNumId="5" w15:restartNumberingAfterBreak="0">
    <w:nsid w:val="5675012B"/>
    <w:multiLevelType w:val="multilevel"/>
    <w:tmpl w:val="8C807E9C"/>
    <w:lvl w:ilvl="0">
      <w:start w:val="5"/>
      <w:numFmt w:val="decimal"/>
      <w:lvlText w:val="%1"/>
      <w:lvlJc w:val="left"/>
      <w:pPr>
        <w:ind w:left="627" w:hanging="512"/>
        <w:jc w:val="left"/>
      </w:pPr>
      <w:rPr>
        <w:rFonts w:hint="default"/>
        <w:lang w:val="et" w:eastAsia="et" w:bidi="et"/>
      </w:rPr>
    </w:lvl>
    <w:lvl w:ilvl="1">
      <w:start w:val="2"/>
      <w:numFmt w:val="decimal"/>
      <w:lvlText w:val="%1.%2."/>
      <w:lvlJc w:val="left"/>
      <w:pPr>
        <w:ind w:left="627" w:hanging="512"/>
        <w:jc w:val="left"/>
      </w:pPr>
      <w:rPr>
        <w:rFonts w:ascii="Times New Roman" w:eastAsia="Times New Roman" w:hAnsi="Times New Roman" w:cs="Times New Roman" w:hint="default"/>
        <w:b/>
        <w:bCs/>
        <w:spacing w:val="-30"/>
        <w:w w:val="99"/>
        <w:sz w:val="24"/>
        <w:szCs w:val="24"/>
        <w:lang w:val="et" w:eastAsia="et" w:bidi="et"/>
      </w:rPr>
    </w:lvl>
    <w:lvl w:ilvl="2">
      <w:start w:val="1"/>
      <w:numFmt w:val="decimal"/>
      <w:lvlText w:val="%1.%2.%3."/>
      <w:lvlJc w:val="left"/>
      <w:pPr>
        <w:ind w:left="836" w:hanging="720"/>
        <w:jc w:val="left"/>
      </w:pPr>
      <w:rPr>
        <w:rFonts w:ascii="Times New Roman" w:eastAsia="Times New Roman" w:hAnsi="Times New Roman" w:cs="Times New Roman" w:hint="default"/>
        <w:b/>
        <w:bCs/>
        <w:i/>
        <w:spacing w:val="-2"/>
        <w:w w:val="99"/>
        <w:sz w:val="24"/>
        <w:szCs w:val="24"/>
        <w:lang w:val="et" w:eastAsia="et" w:bidi="et"/>
      </w:rPr>
    </w:lvl>
    <w:lvl w:ilvl="3">
      <w:numFmt w:val="bullet"/>
      <w:lvlText w:val="•"/>
      <w:lvlJc w:val="left"/>
      <w:pPr>
        <w:ind w:left="2733" w:hanging="720"/>
      </w:pPr>
      <w:rPr>
        <w:rFonts w:hint="default"/>
        <w:lang w:val="et" w:eastAsia="et" w:bidi="et"/>
      </w:rPr>
    </w:lvl>
    <w:lvl w:ilvl="4">
      <w:numFmt w:val="bullet"/>
      <w:lvlText w:val="•"/>
      <w:lvlJc w:val="left"/>
      <w:pPr>
        <w:ind w:left="3679" w:hanging="720"/>
      </w:pPr>
      <w:rPr>
        <w:rFonts w:hint="default"/>
        <w:lang w:val="et" w:eastAsia="et" w:bidi="et"/>
      </w:rPr>
    </w:lvl>
    <w:lvl w:ilvl="5">
      <w:numFmt w:val="bullet"/>
      <w:lvlText w:val="•"/>
      <w:lvlJc w:val="left"/>
      <w:pPr>
        <w:ind w:left="4626" w:hanging="720"/>
      </w:pPr>
      <w:rPr>
        <w:rFonts w:hint="default"/>
        <w:lang w:val="et" w:eastAsia="et" w:bidi="et"/>
      </w:rPr>
    </w:lvl>
    <w:lvl w:ilvl="6">
      <w:numFmt w:val="bullet"/>
      <w:lvlText w:val="•"/>
      <w:lvlJc w:val="left"/>
      <w:pPr>
        <w:ind w:left="5572" w:hanging="720"/>
      </w:pPr>
      <w:rPr>
        <w:rFonts w:hint="default"/>
        <w:lang w:val="et" w:eastAsia="et" w:bidi="et"/>
      </w:rPr>
    </w:lvl>
    <w:lvl w:ilvl="7">
      <w:numFmt w:val="bullet"/>
      <w:lvlText w:val="•"/>
      <w:lvlJc w:val="left"/>
      <w:pPr>
        <w:ind w:left="6519" w:hanging="720"/>
      </w:pPr>
      <w:rPr>
        <w:rFonts w:hint="default"/>
        <w:lang w:val="et" w:eastAsia="et" w:bidi="et"/>
      </w:rPr>
    </w:lvl>
    <w:lvl w:ilvl="8">
      <w:numFmt w:val="bullet"/>
      <w:lvlText w:val="•"/>
      <w:lvlJc w:val="left"/>
      <w:pPr>
        <w:ind w:left="7466" w:hanging="720"/>
      </w:pPr>
      <w:rPr>
        <w:rFonts w:hint="default"/>
        <w:lang w:val="et" w:eastAsia="et" w:bidi="et"/>
      </w:rPr>
    </w:lvl>
  </w:abstractNum>
  <w:abstractNum w:abstractNumId="6" w15:restartNumberingAfterBreak="0">
    <w:nsid w:val="67CB242E"/>
    <w:multiLevelType w:val="multilevel"/>
    <w:tmpl w:val="9B301534"/>
    <w:lvl w:ilvl="0">
      <w:start w:val="2"/>
      <w:numFmt w:val="decimal"/>
      <w:lvlText w:val="%1."/>
      <w:lvlJc w:val="left"/>
      <w:pPr>
        <w:ind w:left="116" w:hanging="360"/>
        <w:jc w:val="left"/>
      </w:pPr>
      <w:rPr>
        <w:rFonts w:ascii="Times New Roman" w:eastAsia="Times New Roman" w:hAnsi="Times New Roman" w:cs="Times New Roman" w:hint="default"/>
        <w:b/>
        <w:bCs/>
        <w:spacing w:val="-3"/>
        <w:w w:val="99"/>
        <w:sz w:val="24"/>
        <w:szCs w:val="24"/>
        <w:lang w:val="et" w:eastAsia="et" w:bidi="et"/>
      </w:rPr>
    </w:lvl>
    <w:lvl w:ilvl="1">
      <w:start w:val="2"/>
      <w:numFmt w:val="decimal"/>
      <w:lvlText w:val="%1.%2."/>
      <w:lvlJc w:val="left"/>
      <w:pPr>
        <w:ind w:left="477" w:hanging="361"/>
        <w:jc w:val="left"/>
      </w:pPr>
      <w:rPr>
        <w:rFonts w:ascii="Times New Roman" w:eastAsia="Times New Roman" w:hAnsi="Times New Roman" w:cs="Times New Roman" w:hint="default"/>
        <w:b/>
        <w:bCs/>
        <w:w w:val="100"/>
        <w:sz w:val="22"/>
        <w:szCs w:val="22"/>
        <w:lang w:val="et" w:eastAsia="et" w:bidi="et"/>
      </w:rPr>
    </w:lvl>
    <w:lvl w:ilvl="2">
      <w:numFmt w:val="bullet"/>
      <w:lvlText w:val="•"/>
      <w:lvlJc w:val="left"/>
      <w:pPr>
        <w:ind w:left="1468" w:hanging="361"/>
      </w:pPr>
      <w:rPr>
        <w:rFonts w:hint="default"/>
        <w:lang w:val="et" w:eastAsia="et" w:bidi="et"/>
      </w:rPr>
    </w:lvl>
    <w:lvl w:ilvl="3">
      <w:numFmt w:val="bullet"/>
      <w:lvlText w:val="•"/>
      <w:lvlJc w:val="left"/>
      <w:pPr>
        <w:ind w:left="2457" w:hanging="361"/>
      </w:pPr>
      <w:rPr>
        <w:rFonts w:hint="default"/>
        <w:lang w:val="et" w:eastAsia="et" w:bidi="et"/>
      </w:rPr>
    </w:lvl>
    <w:lvl w:ilvl="4">
      <w:numFmt w:val="bullet"/>
      <w:lvlText w:val="•"/>
      <w:lvlJc w:val="left"/>
      <w:pPr>
        <w:ind w:left="3446" w:hanging="361"/>
      </w:pPr>
      <w:rPr>
        <w:rFonts w:hint="default"/>
        <w:lang w:val="et" w:eastAsia="et" w:bidi="et"/>
      </w:rPr>
    </w:lvl>
    <w:lvl w:ilvl="5">
      <w:numFmt w:val="bullet"/>
      <w:lvlText w:val="•"/>
      <w:lvlJc w:val="left"/>
      <w:pPr>
        <w:ind w:left="4435" w:hanging="361"/>
      </w:pPr>
      <w:rPr>
        <w:rFonts w:hint="default"/>
        <w:lang w:val="et" w:eastAsia="et" w:bidi="et"/>
      </w:rPr>
    </w:lvl>
    <w:lvl w:ilvl="6">
      <w:numFmt w:val="bullet"/>
      <w:lvlText w:val="•"/>
      <w:lvlJc w:val="left"/>
      <w:pPr>
        <w:ind w:left="5424" w:hanging="361"/>
      </w:pPr>
      <w:rPr>
        <w:rFonts w:hint="default"/>
        <w:lang w:val="et" w:eastAsia="et" w:bidi="et"/>
      </w:rPr>
    </w:lvl>
    <w:lvl w:ilvl="7">
      <w:numFmt w:val="bullet"/>
      <w:lvlText w:val="•"/>
      <w:lvlJc w:val="left"/>
      <w:pPr>
        <w:ind w:left="6412" w:hanging="361"/>
      </w:pPr>
      <w:rPr>
        <w:rFonts w:hint="default"/>
        <w:lang w:val="et" w:eastAsia="et" w:bidi="et"/>
      </w:rPr>
    </w:lvl>
    <w:lvl w:ilvl="8">
      <w:numFmt w:val="bullet"/>
      <w:lvlText w:val="•"/>
      <w:lvlJc w:val="left"/>
      <w:pPr>
        <w:ind w:left="7401" w:hanging="361"/>
      </w:pPr>
      <w:rPr>
        <w:rFonts w:hint="default"/>
        <w:lang w:val="et" w:eastAsia="et" w:bidi="et"/>
      </w:rPr>
    </w:lvl>
  </w:abstractNum>
  <w:num w:numId="1">
    <w:abstractNumId w:val="5"/>
  </w:num>
  <w:num w:numId="2">
    <w:abstractNumId w:val="4"/>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252"/>
    <w:rsid w:val="00A33443"/>
    <w:rsid w:val="00C942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AC48C77-0119-4DC1-8AE5-4FD2DC6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t" w:eastAsia="et"/>
    </w:rPr>
  </w:style>
  <w:style w:type="paragraph" w:styleId="Overskrift1">
    <w:name w:val="heading 1"/>
    <w:basedOn w:val="Normal"/>
    <w:uiPriority w:val="1"/>
    <w:qFormat/>
    <w:pPr>
      <w:ind w:left="116"/>
      <w:outlineLvl w:val="0"/>
    </w:pPr>
    <w:rPr>
      <w:b/>
      <w:bCs/>
      <w:sz w:val="24"/>
      <w:szCs w:val="24"/>
    </w:rPr>
  </w:style>
  <w:style w:type="paragraph" w:styleId="Overskrift2">
    <w:name w:val="heading 2"/>
    <w:basedOn w:val="Normal"/>
    <w:uiPriority w:val="1"/>
    <w:qFormat/>
    <w:pPr>
      <w:ind w:left="836" w:hanging="720"/>
      <w:jc w:val="both"/>
      <w:outlineLvl w:val="1"/>
    </w:pPr>
    <w:rPr>
      <w:b/>
      <w:bCs/>
      <w:i/>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4"/>
      <w:szCs w:val="24"/>
    </w:rPr>
  </w:style>
  <w:style w:type="paragraph" w:styleId="Listeavsnitt">
    <w:name w:val="List Paragraph"/>
    <w:basedOn w:val="Normal"/>
    <w:uiPriority w:val="1"/>
    <w:qFormat/>
    <w:pPr>
      <w:ind w:left="8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bastian.eiter@nibio.no" TargetMode="External"/><Relationship Id="rId13" Type="http://schemas.openxmlformats.org/officeDocument/2006/relationships/hyperlink" Target="mailto:matthias.buchecker@wsl.ch" TargetMode="External"/><Relationship Id="rId18" Type="http://schemas.openxmlformats.org/officeDocument/2006/relationships/hyperlink" Target="http://cost-rely.eu/about-the-action/lorem-ipsum" TargetMode="Externa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yperlink" Target="https://www.entsoe.eu/data/statistics/Pages/default.aspx" TargetMode="External"/><Relationship Id="rId7" Type="http://schemas.openxmlformats.org/officeDocument/2006/relationships/hyperlink" Target="https://doi.org/10.1016/j.landusepol.2018.10.032" TargetMode="External"/><Relationship Id="rId12" Type="http://schemas.openxmlformats.org/officeDocument/2006/relationships/hyperlink" Target="mailto:c.deboer@utwente.nl" TargetMode="External"/><Relationship Id="rId17" Type="http://schemas.openxmlformats.org/officeDocument/2006/relationships/hyperlink" Target="http://cost-rely.eu/about-the-action/lorem-ipsum" TargetMode="External"/><Relationship Id="rId25" Type="http://schemas.openxmlformats.org/officeDocument/2006/relationships/image" Target="media/image5.jpeg"/><Relationship Id="rId33" Type="http://schemas.openxmlformats.org/officeDocument/2006/relationships/hyperlink" Target="https://ec.europa.eu/jrc/en/publication/eur-scientific-and-technical-research-reports/social-acceptance-wind-energy-where-we-stand-and-path-ahead"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hyperlink" Target="http://cost-rely.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s.vollmer@emu.ee" TargetMode="External"/><Relationship Id="rId24" Type="http://schemas.openxmlformats.org/officeDocument/2006/relationships/footer" Target="footer4.xml"/><Relationship Id="rId32" Type="http://schemas.openxmlformats.org/officeDocument/2006/relationships/hyperlink" Target="https://ec.europa.eu/jrc/en/publication/eur-scientific-and-technical-research-reports/social-acceptance-wind-energy-where-we-stand-and-path-ahead" TargetMode="External"/><Relationship Id="rId37" Type="http://schemas.openxmlformats.org/officeDocument/2006/relationships/hyperlink" Target="http://eur-lex.europa.eu/legal-content/EN/ALL/?uri=CELEX%253A32009L0028"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hyperlink" Target="http://eur-lex.europa.eu/legal-content/EN/ALL/?uri=CELEX%253A32009L0028" TargetMode="External"/><Relationship Id="rId10" Type="http://schemas.openxmlformats.org/officeDocument/2006/relationships/hyperlink" Target="mailto:dstober@gfos.hr" TargetMode="External"/><Relationship Id="rId19" Type="http://schemas.openxmlformats.org/officeDocument/2006/relationships/hyperlink" Target="http://cost-rely.eu/" TargetMode="External"/><Relationship Id="rId31" Type="http://schemas.openxmlformats.org/officeDocument/2006/relationships/hyperlink" Target="https://doc.uments.com/download/s-reconsidering-public-attitudes-and-public-acceptance-of-renewable.pdf" TargetMode="External"/><Relationship Id="rId4" Type="http://schemas.openxmlformats.org/officeDocument/2006/relationships/webSettings" Target="webSettings.xml"/><Relationship Id="rId9" Type="http://schemas.openxmlformats.org/officeDocument/2006/relationships/hyperlink" Target="mailto:martinats@cardiff.ac.uk"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s://doc.uments.com/download/s-reconsidering-public-attitudes-and-public-acceptance-of-renewable.pdf" TargetMode="External"/><Relationship Id="rId35" Type="http://schemas.openxmlformats.org/officeDocument/2006/relationships/hyperlink" Target="http://www.ecn.nl/docs/library/report/2007/e0705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12204</Words>
  <Characters>64685</Characters>
  <Application>Microsoft Office Word</Application>
  <DocSecurity>0</DocSecurity>
  <Lines>539</Lines>
  <Paragraphs>153</Paragraphs>
  <ScaleCrop>false</ScaleCrop>
  <HeadingPairs>
    <vt:vector size="2" baseType="variant">
      <vt:variant>
        <vt:lpstr>Tittel</vt:lpstr>
      </vt:variant>
      <vt:variant>
        <vt:i4>1</vt:i4>
      </vt:variant>
    </vt:vector>
  </HeadingPairs>
  <TitlesOfParts>
    <vt:vector size="1" baseType="lpstr">
      <vt:lpstr/>
    </vt:vector>
  </TitlesOfParts>
  <Company>Nibio</Company>
  <LinksUpToDate>false</LinksUpToDate>
  <CharactersWithSpaces>76736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Suskevics</dc:creator>
  <cp:lastModifiedBy>Åse Grundstrøm</cp:lastModifiedBy>
  <cp:revision>2</cp:revision>
  <dcterms:created xsi:type="dcterms:W3CDTF">2019-04-01T07:29:00Z</dcterms:created>
  <dcterms:modified xsi:type="dcterms:W3CDTF">2019-04-01T07:29:00Z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2018-12-13T00:00:00Z</vt:filetime>
  </property>
  <property fmtid="{D5CDD505-2E9C-101B-9397-08002B2CF9AE}" pid="3" name="Creator">
    <vt:lpwstr>Microsoft® Word 2016</vt:lpwstr>
  </property>
  <property fmtid="{D5CDD505-2E9C-101B-9397-08002B2CF9AE}" pid="4" name="LastSaved">
    <vt:filetime>2019-03-29T00:00:00Z</vt:filetime>
  </property>
</Properties>
</file>